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0A7F" w:rsidRDefault="004F0EEA">
      <w:pPr>
        <w:ind w:left="708" w:hanging="708"/>
        <w:jc w:val="right"/>
        <w:rPr>
          <w:rFonts w:ascii="Work Sans" w:eastAsia="Work Sans" w:hAnsi="Work Sans" w:cs="Work Sans"/>
          <w:sz w:val="18"/>
          <w:szCs w:val="18"/>
        </w:rPr>
      </w:pPr>
      <w:r>
        <w:rPr>
          <w:rFonts w:ascii="Work Sans" w:eastAsia="Work Sans" w:hAnsi="Work Sans" w:cs="Work Sans"/>
          <w:sz w:val="18"/>
          <w:szCs w:val="18"/>
        </w:rPr>
        <w:t>Código Dependencia: depe_var</w:t>
      </w:r>
      <w:r>
        <w:rPr>
          <w:rFonts w:ascii="Work Sans" w:eastAsia="Work Sans" w:hAnsi="Work Sans" w:cs="Work Sans"/>
          <w:sz w:val="18"/>
          <w:szCs w:val="18"/>
        </w:rPr>
        <w:br/>
        <w:t>Acceso: Reservado (ac_res), Público (ac_pub), Clasificado (ac_cla).</w:t>
      </w:r>
    </w:p>
    <w:p w:rsidR="004D0A7F" w:rsidRDefault="004F0EEA">
      <w:pPr>
        <w:pBdr>
          <w:top w:val="nil"/>
          <w:left w:val="nil"/>
          <w:bottom w:val="nil"/>
          <w:right w:val="nil"/>
          <w:between w:val="nil"/>
        </w:pBdr>
        <w:ind w:right="51"/>
        <w:jc w:val="center"/>
        <w:rPr>
          <w:rFonts w:ascii="Work Sans" w:eastAsia="Work Sans" w:hAnsi="Work Sans" w:cs="Work Sans"/>
          <w:b/>
          <w:bCs/>
          <w:color w:val="000000"/>
        </w:rPr>
      </w:pPr>
      <w:r>
        <w:rPr>
          <w:rFonts w:ascii="Work Sans" w:eastAsia="Work Sans" w:hAnsi="Work Sans" w:cs="Work Sans"/>
          <w:b/>
          <w:bCs/>
          <w:color w:val="000000"/>
        </w:rPr>
        <w:t>Memorando</w:t>
      </w:r>
    </w:p>
    <w:p w:rsidR="004D0A7F" w:rsidRDefault="004D0A7F">
      <w:pPr>
        <w:pBdr>
          <w:top w:val="nil"/>
          <w:left w:val="nil"/>
          <w:bottom w:val="nil"/>
          <w:right w:val="nil"/>
          <w:between w:val="nil"/>
        </w:pBdr>
        <w:ind w:right="425"/>
        <w:jc w:val="center"/>
        <w:rPr>
          <w:rFonts w:ascii="Work Sans" w:eastAsia="Work Sans" w:hAnsi="Work Sans" w:cs="Work Sans"/>
          <w:b/>
          <w:bCs/>
          <w:color w:val="000000"/>
        </w:rPr>
      </w:pPr>
    </w:p>
    <w:p w:rsidR="004D0A7F" w:rsidRDefault="004F0EEA">
      <w:pPr>
        <w:pBdr>
          <w:top w:val="nil"/>
          <w:left w:val="nil"/>
          <w:bottom w:val="nil"/>
          <w:right w:val="nil"/>
          <w:between w:val="nil"/>
        </w:pBdr>
        <w:ind w:right="425"/>
        <w:rPr>
          <w:rFonts w:ascii="Work Sans" w:eastAsia="Work Sans" w:hAnsi="Work Sans" w:cs="Work Sans"/>
          <w:color w:val="000000"/>
        </w:rPr>
      </w:pPr>
      <w:r>
        <w:rPr>
          <w:rFonts w:ascii="Work Sans" w:eastAsia="Work Sans" w:hAnsi="Work Sans" w:cs="Work Sans"/>
          <w:color w:val="000000"/>
        </w:rPr>
        <w:t>Bogotá, D.C.</w:t>
      </w:r>
    </w:p>
    <w:p w:rsidR="004D0A7F" w:rsidRDefault="004D0A7F">
      <w:pPr>
        <w:pBdr>
          <w:top w:val="nil"/>
          <w:left w:val="nil"/>
          <w:bottom w:val="nil"/>
          <w:right w:val="nil"/>
          <w:between w:val="nil"/>
        </w:pBdr>
        <w:ind w:right="425"/>
        <w:rPr>
          <w:rFonts w:ascii="Work Sans" w:eastAsia="Work Sans" w:hAnsi="Work Sans" w:cs="Work Sans"/>
          <w:color w:val="000000"/>
        </w:rPr>
      </w:pPr>
    </w:p>
    <w:p w:rsidR="004D0A7F" w:rsidRDefault="004F0EEA">
      <w:pPr>
        <w:spacing w:line="360" w:lineRule="auto"/>
        <w:ind w:left="1410" w:right="51" w:hanging="1410"/>
        <w:rPr>
          <w:rFonts w:ascii="Work Sans" w:eastAsia="Work Sans" w:hAnsi="Work Sans" w:cs="Work Sans"/>
        </w:rPr>
      </w:pPr>
      <w:r>
        <w:rPr>
          <w:rFonts w:ascii="Work Sans" w:eastAsia="Work Sans" w:hAnsi="Work Sans" w:cs="Work Sans"/>
          <w:b/>
          <w:bCs/>
        </w:rPr>
        <w:t>PARA:</w:t>
      </w:r>
      <w:r>
        <w:rPr>
          <w:rFonts w:ascii="Work Sans" w:eastAsia="Work Sans" w:hAnsi="Work Sans" w:cs="Work Sans"/>
          <w:b/>
          <w:bCs/>
        </w:rPr>
        <w:tab/>
      </w:r>
      <w:r>
        <w:rPr>
          <w:rFonts w:ascii="Work Sans" w:eastAsia="Work Sans" w:hAnsi="Work Sans" w:cs="Work Sans"/>
        </w:rPr>
        <w:t>nombredestinatario</w:t>
      </w:r>
      <w:r>
        <w:rPr>
          <w:rFonts w:ascii="Work Sans" w:eastAsia="Work Sans" w:hAnsi="Work Sans" w:cs="Work Sans"/>
        </w:rPr>
        <w:br/>
        <w:t>dptodestinatario</w:t>
      </w:r>
      <w:r>
        <w:rPr>
          <w:rFonts w:ascii="Work Sans" w:eastAsia="Work Sans" w:hAnsi="Work Sans" w:cs="Work Sans"/>
        </w:rPr>
        <w:tab/>
      </w:r>
      <w:r>
        <w:rPr>
          <w:rFonts w:ascii="Work Sans" w:eastAsia="Work Sans" w:hAnsi="Work Sans" w:cs="Work Sans"/>
        </w:rPr>
        <w:tab/>
      </w:r>
    </w:p>
    <w:p w:rsidR="004D0A7F" w:rsidRDefault="004F0EEA">
      <w:pPr>
        <w:spacing w:line="360" w:lineRule="auto"/>
        <w:ind w:right="51"/>
        <w:rPr>
          <w:rFonts w:ascii="Work Sans" w:eastAsia="Work Sans" w:hAnsi="Work Sans" w:cs="Work Sans"/>
        </w:rPr>
      </w:pPr>
      <w:r>
        <w:rPr>
          <w:rFonts w:ascii="Work Sans" w:eastAsia="Work Sans" w:hAnsi="Work Sans" w:cs="Work Sans"/>
          <w:b/>
          <w:bCs/>
        </w:rPr>
        <w:t>DE:</w:t>
      </w:r>
      <w:r>
        <w:rPr>
          <w:rFonts w:ascii="Work Sans" w:eastAsia="Work Sans" w:hAnsi="Work Sans" w:cs="Work Sans"/>
        </w:rPr>
        <w:tab/>
      </w:r>
      <w:r>
        <w:rPr>
          <w:rFonts w:ascii="Work Sans" w:eastAsia="Work Sans" w:hAnsi="Work Sans" w:cs="Work Sans"/>
        </w:rPr>
        <w:tab/>
        <w:t>dptoremitente</w:t>
      </w:r>
    </w:p>
    <w:p w:rsidR="004D0A7F" w:rsidRDefault="004D0A7F">
      <w:pPr>
        <w:ind w:right="51"/>
        <w:rPr>
          <w:rFonts w:ascii="Work Sans" w:eastAsia="Work Sans" w:hAnsi="Work Sans" w:cs="Work Sans"/>
        </w:rPr>
      </w:pPr>
    </w:p>
    <w:p w:rsidR="004D0A7F" w:rsidRDefault="004F0EEA">
      <w:pPr>
        <w:ind w:right="51"/>
        <w:rPr>
          <w:rFonts w:ascii="Work Sans" w:eastAsia="Work Sans" w:hAnsi="Work Sans" w:cs="Work Sans"/>
          <w:b/>
          <w:bCs/>
        </w:rPr>
      </w:pPr>
      <w:r>
        <w:rPr>
          <w:rFonts w:ascii="Work Sans" w:eastAsia="Work Sans" w:hAnsi="Work Sans" w:cs="Work Sans"/>
          <w:b/>
          <w:bCs/>
        </w:rPr>
        <w:t>ASUNTO:</w:t>
      </w:r>
      <w:r>
        <w:rPr>
          <w:rFonts w:ascii="Work Sans" w:eastAsia="Work Sans" w:hAnsi="Work Sans" w:cs="Work Sans"/>
          <w:b/>
          <w:bCs/>
        </w:rPr>
        <w:tab/>
      </w:r>
      <w:r>
        <w:rPr>
          <w:rFonts w:ascii="Work Sans" w:eastAsia="Work Sans" w:hAnsi="Work Sans" w:cs="Work Sans"/>
          <w:b/>
          <w:bCs/>
        </w:rPr>
        <w:t>SANEAMIENTO CONTRATO DE PRESTACIÓN DE SERVICIOS No. GGC-1435-2025</w:t>
      </w:r>
    </w:p>
    <w:p w:rsidR="004D0A7F" w:rsidRDefault="004D0A7F">
      <w:pPr>
        <w:ind w:right="51"/>
        <w:jc w:val="both"/>
        <w:rPr>
          <w:rFonts w:ascii="Work Sans" w:eastAsia="Work Sans" w:hAnsi="Work Sans" w:cs="Work Sans"/>
        </w:rPr>
      </w:pPr>
    </w:p>
    <w:p w:rsidR="00D6112B" w:rsidRDefault="004F0EEA" w:rsidP="003A409D">
      <w:pPr>
        <w:spacing w:before="120" w:after="120" w:line="320" w:lineRule="exact"/>
        <w:jc w:val="both"/>
        <w:rPr>
          <w:rFonts w:ascii="Work Sans" w:eastAsia="Work Sans" w:hAnsi="Work Sans" w:cs="Work Sans"/>
        </w:rPr>
      </w:pPr>
      <w:r>
        <w:rPr>
          <w:rFonts w:ascii="Work Sans" w:eastAsia="Work Sans" w:hAnsi="Work Sans" w:cs="Work Sans"/>
        </w:rPr>
        <w:t>Desde el Grupo de Gestión Contractual</w:t>
      </w:r>
      <w:r w:rsidR="00D6112B">
        <w:rPr>
          <w:rFonts w:ascii="Work Sans" w:eastAsia="Work Sans" w:hAnsi="Work Sans" w:cs="Work Sans"/>
        </w:rPr>
        <w:t xml:space="preserve"> </w:t>
      </w:r>
      <w:r>
        <w:rPr>
          <w:rFonts w:ascii="Work Sans" w:eastAsia="Work Sans" w:hAnsi="Work Sans" w:cs="Work Sans"/>
        </w:rPr>
        <w:t xml:space="preserve">nos permitimos solicitar, de manera comedida, la viabilidad para la expedición del acto administrativo de saneamiento correspondiente, con fundamento </w:t>
      </w:r>
      <w:r>
        <w:rPr>
          <w:rFonts w:ascii="Work Sans" w:eastAsia="Work Sans" w:hAnsi="Work Sans" w:cs="Work Sans"/>
        </w:rPr>
        <w:t>en las siguientes consideraciones:</w:t>
      </w:r>
    </w:p>
    <w:p w:rsidR="002D2199" w:rsidRDefault="002D2199" w:rsidP="003A409D">
      <w:pPr>
        <w:spacing w:before="120" w:after="120" w:line="320" w:lineRule="exact"/>
        <w:jc w:val="both"/>
        <w:rPr>
          <w:rFonts w:ascii="Work Sans" w:eastAsia="Work Sans" w:hAnsi="Work Sans" w:cs="Work Sans"/>
        </w:rPr>
      </w:pPr>
    </w:p>
    <w:p w:rsidR="00D6112B" w:rsidRDefault="004F0EEA" w:rsidP="003A409D">
      <w:p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En virtud de lo dispuesto en el artículo 49 de la Ley 80 de 1993, el cual establece que</w:t>
      </w:r>
      <w:r w:rsidRPr="00D6112B">
        <w:rPr>
          <w:rFonts w:ascii="Work Sans" w:eastAsia="Work Sans" w:hAnsi="Work Sans" w:cs="Work Sans"/>
          <w:i/>
          <w:color w:val="000000"/>
        </w:rPr>
        <w:t xml:space="preserve">: </w:t>
      </w:r>
      <w:r w:rsidRPr="00D6112B">
        <w:rPr>
          <w:rFonts w:ascii="Work Sans" w:eastAsia="Work Sans" w:hAnsi="Work Sans" w:cs="Work Sans"/>
          <w:i/>
          <w:iCs/>
          <w:color w:val="000000"/>
        </w:rPr>
        <w:t>“Del saneamiento de los vicios de procedimiento o de forma. Ante la ocurrencia de vicios que no constituyan causales de nulidad y cu</w:t>
      </w:r>
      <w:r w:rsidRPr="00D6112B">
        <w:rPr>
          <w:rFonts w:ascii="Work Sans" w:eastAsia="Work Sans" w:hAnsi="Work Sans" w:cs="Work Sans"/>
          <w:i/>
          <w:iCs/>
          <w:color w:val="000000"/>
        </w:rPr>
        <w:t>ando las necesidades del servicio lo exijan o las reglas de la buena administración lo aconsejen, el jefe o representante legal de la entidad, en acto motivado, podrá sanear el correspondiente vicio</w:t>
      </w:r>
      <w:r>
        <w:rPr>
          <w:rFonts w:ascii="Work Sans" w:eastAsia="Work Sans" w:hAnsi="Work Sans" w:cs="Work Sans"/>
          <w:i/>
          <w:iCs/>
          <w:color w:val="000000"/>
        </w:rPr>
        <w:t>”,</w:t>
      </w:r>
      <w:r>
        <w:rPr>
          <w:rFonts w:ascii="Work Sans" w:eastAsia="Work Sans" w:hAnsi="Work Sans" w:cs="Work Sans"/>
          <w:color w:val="000000"/>
        </w:rPr>
        <w:t xml:space="preserve"> y considerando la necesidad de corregir un vicio de naturaleza procedimental identificado en el trámite presupuestal asociado a la cesión del contrato de prestación de servicios </w:t>
      </w:r>
      <w:r>
        <w:rPr>
          <w:rFonts w:ascii="Work Sans" w:eastAsia="Work Sans" w:hAnsi="Work Sans" w:cs="Work Sans"/>
          <w:b/>
          <w:bCs/>
          <w:color w:val="000000"/>
        </w:rPr>
        <w:t>No. GGC-1435-2025</w:t>
      </w:r>
      <w:r>
        <w:rPr>
          <w:rFonts w:ascii="Work Sans" w:eastAsia="Work Sans" w:hAnsi="Work Sans" w:cs="Work Sans"/>
          <w:color w:val="000000"/>
        </w:rPr>
        <w:t>, se expone la motivación que sustenta la procedencia del sa</w:t>
      </w:r>
      <w:r>
        <w:rPr>
          <w:rFonts w:ascii="Work Sans" w:eastAsia="Work Sans" w:hAnsi="Work Sans" w:cs="Work Sans"/>
          <w:color w:val="000000"/>
        </w:rPr>
        <w:t>neamiento administrativo.</w:t>
      </w:r>
    </w:p>
    <w:p w:rsidR="002D2199" w:rsidRDefault="002D2199" w:rsidP="003A409D">
      <w:pPr>
        <w:pBdr>
          <w:top w:val="nil"/>
          <w:left w:val="nil"/>
          <w:bottom w:val="nil"/>
          <w:right w:val="nil"/>
          <w:between w:val="nil"/>
        </w:pBdr>
        <w:spacing w:before="120" w:after="120" w:line="320" w:lineRule="exact"/>
        <w:jc w:val="both"/>
        <w:rPr>
          <w:rFonts w:ascii="Work Sans" w:eastAsia="Work Sans" w:hAnsi="Work Sans" w:cs="Work Sans"/>
          <w:color w:val="000000"/>
        </w:rPr>
      </w:pPr>
    </w:p>
    <w:p w:rsidR="00D6112B" w:rsidRPr="00D6112B" w:rsidRDefault="00D6112B" w:rsidP="003A409D">
      <w:pPr>
        <w:spacing w:before="120" w:after="120" w:line="320" w:lineRule="exact"/>
        <w:jc w:val="both"/>
        <w:rPr>
          <w:rFonts w:ascii="Work Sans" w:eastAsia="Work Sans" w:hAnsi="Work Sans" w:cs="Work Sans"/>
          <w:color w:val="000000"/>
        </w:rPr>
      </w:pPr>
      <w:r w:rsidRPr="00D6112B">
        <w:rPr>
          <w:rFonts w:ascii="Work Sans" w:eastAsia="Work Sans" w:hAnsi="Work Sans" w:cs="Work Sans"/>
          <w:color w:val="000000"/>
        </w:rPr>
        <w:t>En la revisión del flujo de la cesión en la plataforma</w:t>
      </w:r>
      <w:r w:rsidRPr="00D6112B">
        <w:rPr>
          <w:rFonts w:ascii="Work Sans" w:eastAsia="Work Sans" w:hAnsi="Work Sans" w:cs="Work Sans"/>
          <w:color w:val="000000"/>
        </w:rPr>
        <w:t> NEÓN</w:t>
      </w:r>
      <w:r w:rsidRPr="00D6112B">
        <w:rPr>
          <w:rFonts w:ascii="Work Sans" w:eastAsia="Work Sans" w:hAnsi="Work Sans" w:cs="Work Sans"/>
          <w:color w:val="000000"/>
        </w:rPr>
        <w:t>, se evidenció una</w:t>
      </w:r>
      <w:r w:rsidRPr="00D6112B">
        <w:rPr>
          <w:rFonts w:ascii="Work Sans" w:eastAsia="Work Sans" w:hAnsi="Work Sans" w:cs="Work Sans"/>
          <w:color w:val="000000"/>
        </w:rPr>
        <w:t> afectación involuntaria del sistema</w:t>
      </w:r>
      <w:r w:rsidRPr="00D6112B">
        <w:rPr>
          <w:rFonts w:ascii="Work Sans" w:eastAsia="Work Sans" w:hAnsi="Work Sans" w:cs="Work Sans"/>
          <w:color w:val="000000"/>
        </w:rPr>
        <w:t>, la cual impidió la remisión automática de la solicitud al Grupo de Presupuesto. Esta situación alteró el curso regular del trámite,</w:t>
      </w:r>
      <w:r w:rsidRPr="00D6112B">
        <w:rPr>
          <w:rFonts w:ascii="Work Sans" w:eastAsia="Work Sans" w:hAnsi="Work Sans" w:cs="Work Sans"/>
          <w:color w:val="000000"/>
        </w:rPr>
        <w:t> sin comprometer la existencia ni la validez del contrato</w:t>
      </w:r>
      <w:r w:rsidRPr="00D6112B">
        <w:rPr>
          <w:rFonts w:ascii="Work Sans" w:eastAsia="Work Sans" w:hAnsi="Work Sans" w:cs="Work Sans"/>
          <w:color w:val="000000"/>
        </w:rPr>
        <w:t>, pero ocasionando la</w:t>
      </w:r>
      <w:r w:rsidRPr="00D6112B">
        <w:rPr>
          <w:rFonts w:ascii="Work Sans" w:eastAsia="Work Sans" w:hAnsi="Work Sans" w:cs="Work Sans"/>
          <w:color w:val="000000"/>
        </w:rPr>
        <w:t> expedición tardía del Registro Presupuestal (RP)</w:t>
      </w:r>
      <w:r w:rsidRPr="00D6112B">
        <w:rPr>
          <w:rFonts w:ascii="Work Sans" w:eastAsia="Work Sans" w:hAnsi="Work Sans" w:cs="Work Sans"/>
          <w:color w:val="000000"/>
        </w:rPr>
        <w:t>.</w:t>
      </w:r>
    </w:p>
    <w:p w:rsidR="00D6112B" w:rsidRDefault="005A0B21" w:rsidP="003A409D">
      <w:pPr>
        <w:spacing w:before="120" w:after="120" w:line="320" w:lineRule="exact"/>
        <w:jc w:val="both"/>
        <w:rPr>
          <w:rFonts w:ascii="Work Sans" w:eastAsia="Work Sans" w:hAnsi="Work Sans" w:cs="Work Sans"/>
          <w:color w:val="000000"/>
        </w:rPr>
      </w:pPr>
      <w:r w:rsidRPr="005A0B21">
        <w:rPr>
          <w:rFonts w:ascii="Work Sans" w:eastAsia="Work Sans" w:hAnsi="Work Sans" w:cs="Work Sans"/>
          <w:color w:val="000000"/>
        </w:rPr>
        <w:lastRenderedPageBreak/>
        <w:t>Una vez identificada la inconsistencia, el</w:t>
      </w:r>
      <w:r w:rsidRPr="005A0B21">
        <w:rPr>
          <w:rFonts w:ascii="Work Sans" w:eastAsia="Work Sans" w:hAnsi="Work Sans" w:cs="Work Sans"/>
        </w:rPr>
        <w:t> </w:t>
      </w:r>
      <w:r w:rsidRPr="005A0B21">
        <w:rPr>
          <w:rFonts w:ascii="Work Sans" w:eastAsia="Work Sans" w:hAnsi="Work Sans" w:cs="Work Sans"/>
          <w:bCs/>
        </w:rPr>
        <w:t>Registro Presupuestal (RP)</w:t>
      </w:r>
      <w:r w:rsidRPr="005A0B21">
        <w:rPr>
          <w:rFonts w:ascii="Work Sans" w:eastAsia="Work Sans" w:hAnsi="Work Sans" w:cs="Work Sans"/>
        </w:rPr>
        <w:t> </w:t>
      </w:r>
      <w:r w:rsidRPr="005A0B21">
        <w:rPr>
          <w:rFonts w:ascii="Work Sans" w:eastAsia="Work Sans" w:hAnsi="Work Sans" w:cs="Work Sans"/>
          <w:color w:val="000000"/>
        </w:rPr>
        <w:t>fue expedido con base en la fecha de conocimiento del error involuntario, aun cuando la contratista</w:t>
      </w:r>
      <w:r w:rsidRPr="005A0B21">
        <w:rPr>
          <w:rFonts w:ascii="Work Sans" w:eastAsia="Work Sans" w:hAnsi="Work Sans" w:cs="Work Sans"/>
        </w:rPr>
        <w:t> </w:t>
      </w:r>
      <w:r w:rsidRPr="005A0B21">
        <w:rPr>
          <w:rFonts w:ascii="Work Sans" w:eastAsia="Work Sans" w:hAnsi="Work Sans" w:cs="Work Sans"/>
          <w:b/>
          <w:bCs/>
        </w:rPr>
        <w:t>YURI ANDREA ALARCÓN RODRÍGUEZ</w:t>
      </w:r>
      <w:r w:rsidRPr="005A0B21">
        <w:rPr>
          <w:rFonts w:ascii="Work Sans" w:eastAsia="Work Sans" w:hAnsi="Work Sans" w:cs="Work Sans"/>
        </w:rPr>
        <w:t> </w:t>
      </w:r>
      <w:r w:rsidRPr="005A0B21">
        <w:rPr>
          <w:rFonts w:ascii="Work Sans" w:eastAsia="Work Sans" w:hAnsi="Work Sans" w:cs="Work Sans"/>
          <w:color w:val="000000"/>
        </w:rPr>
        <w:t>venía ejecutando sus actividades desde el</w:t>
      </w:r>
      <w:r w:rsidRPr="005A0B21">
        <w:rPr>
          <w:rFonts w:ascii="Work Sans" w:eastAsia="Work Sans" w:hAnsi="Work Sans" w:cs="Work Sans"/>
        </w:rPr>
        <w:t> </w:t>
      </w:r>
      <w:r w:rsidRPr="005A0B21">
        <w:rPr>
          <w:rFonts w:ascii="Work Sans" w:eastAsia="Work Sans" w:hAnsi="Work Sans" w:cs="Work Sans"/>
          <w:bCs/>
        </w:rPr>
        <w:t>16 de octubre de 2025</w:t>
      </w:r>
      <w:r w:rsidRPr="005A0B21">
        <w:rPr>
          <w:rFonts w:ascii="Work Sans" w:eastAsia="Work Sans" w:hAnsi="Work Sans" w:cs="Work Sans"/>
          <w:color w:val="000000"/>
        </w:rPr>
        <w:t>, fecha para la cual ya contaba con la respectiva cobertura de ARL.</w:t>
      </w:r>
    </w:p>
    <w:p w:rsidR="003A409D" w:rsidRPr="00D6112B" w:rsidRDefault="003A409D" w:rsidP="003A409D">
      <w:pPr>
        <w:spacing w:before="120" w:after="120" w:line="320" w:lineRule="exact"/>
        <w:jc w:val="both"/>
        <w:rPr>
          <w:rFonts w:ascii="Work Sans" w:eastAsia="Work Sans" w:hAnsi="Work Sans" w:cs="Work Sans"/>
          <w:color w:val="000000"/>
        </w:rPr>
      </w:pPr>
    </w:p>
    <w:p w:rsidR="004D0A7F" w:rsidRDefault="004F0EEA" w:rsidP="003A409D">
      <w:pPr>
        <w:numPr>
          <w:ilvl w:val="0"/>
          <w:numId w:val="1"/>
        </w:numPr>
        <w:pBdr>
          <w:top w:val="nil"/>
          <w:left w:val="nil"/>
          <w:bottom w:val="nil"/>
          <w:right w:val="nil"/>
          <w:between w:val="nil"/>
        </w:pBdr>
        <w:shd w:val="clear" w:color="auto" w:fill="FFFFFF"/>
        <w:spacing w:before="120" w:after="120" w:line="320" w:lineRule="exact"/>
        <w:jc w:val="center"/>
        <w:rPr>
          <w:rFonts w:ascii="Work Sans" w:eastAsia="Work Sans" w:hAnsi="Work Sans" w:cs="Work Sans"/>
          <w:b/>
          <w:bCs/>
          <w:color w:val="000000"/>
        </w:rPr>
      </w:pPr>
      <w:r>
        <w:rPr>
          <w:rFonts w:ascii="Work Sans" w:eastAsia="Work Sans" w:hAnsi="Work Sans" w:cs="Work Sans"/>
          <w:b/>
          <w:bCs/>
          <w:color w:val="000000"/>
        </w:rPr>
        <w:t>COMPETENCIA</w:t>
      </w:r>
    </w:p>
    <w:p w:rsidR="004D0A7F" w:rsidRDefault="004D0A7F" w:rsidP="003A409D">
      <w:pPr>
        <w:shd w:val="clear" w:color="auto" w:fill="FFFFFF"/>
        <w:spacing w:before="120" w:after="120" w:line="320" w:lineRule="exact"/>
        <w:ind w:right="51"/>
        <w:jc w:val="both"/>
        <w:rPr>
          <w:rFonts w:ascii="Work Sans" w:eastAsia="Work Sans" w:hAnsi="Work Sans" w:cs="Work Sans"/>
        </w:rPr>
      </w:pPr>
    </w:p>
    <w:p w:rsidR="004D0A7F" w:rsidRDefault="004F0EEA" w:rsidP="003A409D">
      <w:pPr>
        <w:shd w:val="clear" w:color="auto" w:fill="FFFFFF"/>
        <w:spacing w:before="120" w:after="120" w:line="300" w:lineRule="exact"/>
        <w:jc w:val="both"/>
        <w:rPr>
          <w:rFonts w:ascii="Work Sans" w:eastAsia="Work Sans" w:hAnsi="Work Sans" w:cs="Work Sans"/>
        </w:rPr>
      </w:pPr>
      <w:r>
        <w:rPr>
          <w:rFonts w:ascii="Work Sans" w:eastAsia="Work Sans" w:hAnsi="Work Sans" w:cs="Work Sans"/>
        </w:rPr>
        <w:t>De conformidad con el Manual de Contratación del M</w:t>
      </w:r>
      <w:r>
        <w:rPr>
          <w:rFonts w:ascii="Work Sans" w:eastAsia="Work Sans" w:hAnsi="Work Sans" w:cs="Work Sans"/>
        </w:rPr>
        <w:t>inisterio de Minas y Energía, el Grupo de Gestión Contractual en el numeral 1.2.3 Funciones y responsabilidades del Grupo de Gestión Contractual establece que:</w:t>
      </w:r>
    </w:p>
    <w:p w:rsidR="004D0A7F" w:rsidRDefault="004D0A7F" w:rsidP="003A409D">
      <w:pPr>
        <w:shd w:val="clear" w:color="auto" w:fill="FFFFFF"/>
        <w:spacing w:before="120" w:after="120" w:line="300" w:lineRule="exact"/>
        <w:jc w:val="both"/>
        <w:rPr>
          <w:rFonts w:ascii="Work Sans" w:eastAsia="Work Sans" w:hAnsi="Work Sans" w:cs="Work Sans"/>
        </w:rPr>
      </w:pPr>
    </w:p>
    <w:p w:rsidR="004D0A7F" w:rsidRDefault="004F0EEA" w:rsidP="003A409D">
      <w:pPr>
        <w:shd w:val="clear" w:color="auto" w:fill="FFFFFF"/>
        <w:spacing w:before="120" w:after="120" w:line="300" w:lineRule="exact"/>
        <w:ind w:left="567" w:right="332"/>
        <w:jc w:val="both"/>
        <w:rPr>
          <w:rFonts w:ascii="Work Sans" w:eastAsia="Work Sans" w:hAnsi="Work Sans" w:cs="Work Sans"/>
        </w:rPr>
      </w:pPr>
      <w:r>
        <w:rPr>
          <w:rFonts w:ascii="Work Sans" w:eastAsia="Work Sans" w:hAnsi="Work Sans" w:cs="Work Sans"/>
        </w:rPr>
        <w:t>“Una vez aprobado el contrato por las partes en la plataforma SECOP II, o firmado físicamente, según el caso, deberá solicitar el registro presupuestal a través del sistema de gestión de recursos físicos y contratación o el mecanismo establecido para tal f</w:t>
      </w:r>
      <w:r>
        <w:rPr>
          <w:rFonts w:ascii="Work Sans" w:eastAsia="Work Sans" w:hAnsi="Work Sans" w:cs="Work Sans"/>
        </w:rPr>
        <w:t>in.”</w:t>
      </w:r>
    </w:p>
    <w:p w:rsidR="004D0A7F" w:rsidRDefault="004D0A7F" w:rsidP="003A409D">
      <w:pPr>
        <w:shd w:val="clear" w:color="auto" w:fill="FFFFFF"/>
        <w:spacing w:before="120" w:after="120" w:line="300" w:lineRule="exact"/>
        <w:jc w:val="both"/>
        <w:rPr>
          <w:rFonts w:ascii="Work Sans" w:eastAsia="Work Sans" w:hAnsi="Work Sans" w:cs="Work Sans"/>
        </w:rPr>
      </w:pPr>
    </w:p>
    <w:p w:rsidR="004D0A7F" w:rsidRDefault="00955D4D" w:rsidP="003A409D">
      <w:pPr>
        <w:shd w:val="clear" w:color="auto" w:fill="FFFFFF"/>
        <w:spacing w:before="120" w:after="120" w:line="320" w:lineRule="exact"/>
        <w:jc w:val="both"/>
        <w:rPr>
          <w:rFonts w:ascii="Work Sans" w:eastAsia="Work Sans" w:hAnsi="Work Sans" w:cs="Work Sans"/>
        </w:rPr>
      </w:pPr>
      <w:r w:rsidRPr="00955D4D">
        <w:rPr>
          <w:rFonts w:ascii="Work Sans" w:eastAsia="Work Sans" w:hAnsi="Work Sans" w:cs="Work Sans"/>
        </w:rPr>
        <w:t>En ese sentido, el</w:t>
      </w:r>
      <w:r w:rsidRPr="00955D4D">
        <w:rPr>
          <w:rFonts w:ascii="Work Sans" w:eastAsia="Work Sans" w:hAnsi="Work Sans" w:cs="Work Sans"/>
        </w:rPr>
        <w:t> </w:t>
      </w:r>
      <w:r w:rsidRPr="00955D4D">
        <w:rPr>
          <w:rFonts w:ascii="Work Sans" w:eastAsia="Work Sans" w:hAnsi="Work Sans" w:cs="Work Sans"/>
          <w:bCs/>
        </w:rPr>
        <w:t>Grupo de Gestión Contractual</w:t>
      </w:r>
      <w:r w:rsidRPr="00955D4D">
        <w:rPr>
          <w:rFonts w:ascii="Work Sans" w:eastAsia="Work Sans" w:hAnsi="Work Sans" w:cs="Work Sans"/>
        </w:rPr>
        <w:t>, en ejercicio de las funciones</w:t>
      </w:r>
      <w:r w:rsidR="00A96D8D">
        <w:rPr>
          <w:rFonts w:ascii="Work Sans" w:eastAsia="Work Sans" w:hAnsi="Work Sans" w:cs="Work Sans"/>
        </w:rPr>
        <w:t xml:space="preserve"> contempladas en el Manual de </w:t>
      </w:r>
      <w:r w:rsidR="00A96D8D">
        <w:rPr>
          <w:rFonts w:ascii="Work Sans" w:eastAsia="Work Sans" w:hAnsi="Work Sans" w:cs="Work Sans"/>
        </w:rPr>
        <w:t>Contratación</w:t>
      </w:r>
      <w:r w:rsidR="00A96D8D">
        <w:rPr>
          <w:rFonts w:ascii="Work Sans" w:eastAsia="Work Sans" w:hAnsi="Work Sans" w:cs="Work Sans"/>
        </w:rPr>
        <w:t xml:space="preserve"> interno</w:t>
      </w:r>
      <w:r w:rsidRPr="00955D4D">
        <w:rPr>
          <w:rFonts w:ascii="Work Sans" w:eastAsia="Work Sans" w:hAnsi="Work Sans" w:cs="Work Sans"/>
        </w:rPr>
        <w:t>,</w:t>
      </w:r>
      <w:r w:rsidRPr="00955D4D">
        <w:rPr>
          <w:rFonts w:ascii="Work Sans" w:eastAsia="Work Sans" w:hAnsi="Work Sans" w:cs="Work Sans"/>
        </w:rPr>
        <w:t> </w:t>
      </w:r>
      <w:r w:rsidRPr="00A96D8D">
        <w:rPr>
          <w:rFonts w:ascii="Work Sans" w:eastAsia="Work Sans" w:hAnsi="Work Sans" w:cs="Work Sans"/>
          <w:bCs/>
        </w:rPr>
        <w:t>es competente para elevar la presente solicitud</w:t>
      </w:r>
      <w:r w:rsidRPr="00955D4D">
        <w:rPr>
          <w:rFonts w:ascii="Work Sans" w:eastAsia="Work Sans" w:hAnsi="Work Sans" w:cs="Work Sans"/>
        </w:rPr>
        <w:t>, con el fin de garantizar el pago de las actividades ejecutadas por la contratista</w:t>
      </w:r>
      <w:r w:rsidRPr="00955D4D">
        <w:rPr>
          <w:rFonts w:ascii="Work Sans" w:eastAsia="Work Sans" w:hAnsi="Work Sans" w:cs="Work Sans"/>
        </w:rPr>
        <w:t> </w:t>
      </w:r>
      <w:r w:rsidRPr="00955D4D">
        <w:rPr>
          <w:rFonts w:ascii="Work Sans" w:eastAsia="Work Sans" w:hAnsi="Work Sans" w:cs="Work Sans"/>
          <w:b/>
          <w:bCs/>
        </w:rPr>
        <w:t>YURI ANDREA ALARCÓN RODRÍGUEZ</w:t>
      </w:r>
      <w:r w:rsidRPr="00955D4D">
        <w:rPr>
          <w:rFonts w:ascii="Work Sans" w:eastAsia="Work Sans" w:hAnsi="Work Sans" w:cs="Work Sans"/>
        </w:rPr>
        <w:t> </w:t>
      </w:r>
      <w:r w:rsidRPr="00955D4D">
        <w:rPr>
          <w:rFonts w:ascii="Work Sans" w:eastAsia="Work Sans" w:hAnsi="Work Sans" w:cs="Work Sans"/>
        </w:rPr>
        <w:t>desde el</w:t>
      </w:r>
      <w:r w:rsidRPr="00955D4D">
        <w:rPr>
          <w:rFonts w:ascii="Work Sans" w:eastAsia="Work Sans" w:hAnsi="Work Sans" w:cs="Work Sans"/>
        </w:rPr>
        <w:t> </w:t>
      </w:r>
      <w:r w:rsidRPr="00A82B1D">
        <w:rPr>
          <w:rFonts w:ascii="Work Sans" w:eastAsia="Work Sans" w:hAnsi="Work Sans" w:cs="Work Sans"/>
          <w:bCs/>
        </w:rPr>
        <w:t>16 de octubre de 2025</w:t>
      </w:r>
      <w:r w:rsidRPr="00955D4D">
        <w:rPr>
          <w:rFonts w:ascii="Work Sans" w:eastAsia="Work Sans" w:hAnsi="Work Sans" w:cs="Work Sans"/>
        </w:rPr>
        <w:t>, a través de la expedición del correspondiente</w:t>
      </w:r>
      <w:r w:rsidRPr="00955D4D">
        <w:rPr>
          <w:rFonts w:ascii="Work Sans" w:eastAsia="Work Sans" w:hAnsi="Work Sans" w:cs="Work Sans"/>
        </w:rPr>
        <w:t> </w:t>
      </w:r>
      <w:r w:rsidRPr="00A96D8D">
        <w:rPr>
          <w:rFonts w:ascii="Work Sans" w:eastAsia="Work Sans" w:hAnsi="Work Sans" w:cs="Work Sans"/>
          <w:bCs/>
        </w:rPr>
        <w:t>acto administrativo de saneamiento</w:t>
      </w:r>
      <w:r w:rsidRPr="00A96D8D">
        <w:rPr>
          <w:rFonts w:ascii="Work Sans" w:eastAsia="Work Sans" w:hAnsi="Work Sans" w:cs="Work Sans"/>
        </w:rPr>
        <w:t>.</w:t>
      </w:r>
    </w:p>
    <w:p w:rsidR="003A409D" w:rsidRPr="00955D4D" w:rsidRDefault="003A409D" w:rsidP="003A409D">
      <w:pPr>
        <w:shd w:val="clear" w:color="auto" w:fill="FFFFFF"/>
        <w:spacing w:before="120" w:after="120" w:line="320" w:lineRule="exact"/>
        <w:jc w:val="both"/>
        <w:rPr>
          <w:rFonts w:ascii="Work Sans" w:eastAsia="Work Sans" w:hAnsi="Work Sans" w:cs="Work Sans"/>
        </w:rPr>
      </w:pPr>
    </w:p>
    <w:p w:rsidR="004D0A7F" w:rsidRDefault="004F0EEA" w:rsidP="003A409D">
      <w:pPr>
        <w:numPr>
          <w:ilvl w:val="0"/>
          <w:numId w:val="1"/>
        </w:numPr>
        <w:pBdr>
          <w:top w:val="nil"/>
          <w:left w:val="nil"/>
          <w:bottom w:val="nil"/>
          <w:right w:val="nil"/>
          <w:between w:val="nil"/>
        </w:pBdr>
        <w:shd w:val="clear" w:color="auto" w:fill="FFFFFF"/>
        <w:spacing w:before="120" w:after="120" w:line="320" w:lineRule="exact"/>
        <w:ind w:right="51"/>
        <w:jc w:val="center"/>
        <w:rPr>
          <w:rFonts w:ascii="Work Sans" w:eastAsia="Work Sans" w:hAnsi="Work Sans" w:cs="Work Sans"/>
          <w:b/>
          <w:bCs/>
          <w:color w:val="000000"/>
        </w:rPr>
      </w:pPr>
      <w:r>
        <w:rPr>
          <w:rFonts w:ascii="Work Sans" w:eastAsia="Work Sans" w:hAnsi="Work Sans" w:cs="Work Sans"/>
          <w:b/>
          <w:bCs/>
          <w:color w:val="000000"/>
        </w:rPr>
        <w:t>HEC</w:t>
      </w:r>
      <w:r>
        <w:rPr>
          <w:rFonts w:ascii="Work Sans" w:eastAsia="Work Sans" w:hAnsi="Work Sans" w:cs="Work Sans"/>
          <w:b/>
          <w:bCs/>
          <w:color w:val="000000"/>
        </w:rPr>
        <w:t>HOS</w:t>
      </w:r>
    </w:p>
    <w:p w:rsidR="004D0A7F" w:rsidRDefault="004D0A7F" w:rsidP="003A409D">
      <w:pPr>
        <w:pBdr>
          <w:top w:val="nil"/>
          <w:left w:val="nil"/>
          <w:bottom w:val="nil"/>
          <w:right w:val="nil"/>
          <w:between w:val="nil"/>
        </w:pBdr>
        <w:shd w:val="clear" w:color="auto" w:fill="FFFFFF"/>
        <w:spacing w:before="120" w:after="120" w:line="320" w:lineRule="exact"/>
        <w:ind w:left="720"/>
        <w:rPr>
          <w:rFonts w:ascii="Work Sans" w:eastAsia="Work Sans" w:hAnsi="Work Sans" w:cs="Work Sans"/>
        </w:rPr>
      </w:pPr>
    </w:p>
    <w:p w:rsidR="004D0A7F" w:rsidRPr="003A409D"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 xml:space="preserve">El día 19 de junio de 2025 se suscribió el contrato de prestación de servicios profesionales No. </w:t>
      </w:r>
      <w:r>
        <w:rPr>
          <w:rFonts w:ascii="Work Sans" w:eastAsia="Work Sans" w:hAnsi="Work Sans" w:cs="Work Sans"/>
          <w:b/>
          <w:bCs/>
          <w:color w:val="000000"/>
        </w:rPr>
        <w:t>GGC-1435-2025</w:t>
      </w:r>
      <w:r>
        <w:rPr>
          <w:rFonts w:ascii="Work Sans" w:eastAsia="Work Sans" w:hAnsi="Work Sans" w:cs="Work Sans"/>
          <w:color w:val="000000"/>
        </w:rPr>
        <w:t xml:space="preserve">, cuyo objeto es: “Apoyar la elaboración de estudios de proyección de oferta y demanda en la cadena de valor de hidrocarburos”. Como contratista fue vinculada la señora </w:t>
      </w:r>
      <w:r>
        <w:rPr>
          <w:rFonts w:ascii="Work Sans" w:eastAsia="Work Sans" w:hAnsi="Work Sans" w:cs="Work Sans"/>
          <w:b/>
          <w:bCs/>
          <w:color w:val="000000"/>
        </w:rPr>
        <w:t>ALEJANDRA VALENTINA ESTEFANÍA CABALLERO ORTEGA,</w:t>
      </w:r>
      <w:r>
        <w:rPr>
          <w:rFonts w:ascii="Work Sans" w:eastAsia="Work Sans" w:hAnsi="Work Sans" w:cs="Work Sans"/>
          <w:color w:val="000000"/>
        </w:rPr>
        <w:t xml:space="preserve"> , contando para ello con el Certificado</w:t>
      </w:r>
      <w:r>
        <w:rPr>
          <w:rFonts w:ascii="Work Sans" w:eastAsia="Work Sans" w:hAnsi="Work Sans" w:cs="Work Sans"/>
          <w:color w:val="000000"/>
        </w:rPr>
        <w:t xml:space="preserve"> de Disponibilidad Presupuestal (CDP) No. 200825, cuyo valor a </w:t>
      </w:r>
      <w:r>
        <w:rPr>
          <w:rFonts w:ascii="Work Sans" w:eastAsia="Work Sans" w:hAnsi="Work Sans" w:cs="Work Sans"/>
          <w:color w:val="000000"/>
        </w:rPr>
        <w:lastRenderedPageBreak/>
        <w:t xml:space="preserve">comprometer ascendía a </w:t>
      </w:r>
      <w:r>
        <w:rPr>
          <w:rFonts w:ascii="Work Sans" w:eastAsia="Work Sans" w:hAnsi="Work Sans" w:cs="Work Sans"/>
          <w:b/>
          <w:bCs/>
          <w:color w:val="000000"/>
        </w:rPr>
        <w:t>TREINTA Y DOS MILLONES QUINIENTOS MIL PESOS ($32.500.000 M/CTE)</w:t>
      </w:r>
      <w:r>
        <w:rPr>
          <w:rFonts w:ascii="Work Sans" w:eastAsia="Work Sans" w:hAnsi="Work Sans" w:cs="Work Sans"/>
          <w:color w:val="000000"/>
        </w:rPr>
        <w:t>, por un plazo de seis (6) meses y quince (15) días, sin exceder el 31 de diciembre de 2025.</w:t>
      </w:r>
    </w:p>
    <w:p w:rsidR="004D0A7F" w:rsidRPr="003A409D"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Una vez exped</w:t>
      </w:r>
      <w:r>
        <w:rPr>
          <w:rFonts w:ascii="Work Sans" w:eastAsia="Work Sans" w:hAnsi="Work Sans" w:cs="Work Sans"/>
          <w:color w:val="000000"/>
        </w:rPr>
        <w:t xml:space="preserve">ido el Registro Presupuestal (RP) No. 352725 del contrato No. </w:t>
      </w:r>
      <w:r>
        <w:rPr>
          <w:rFonts w:ascii="Work Sans" w:eastAsia="Work Sans" w:hAnsi="Work Sans" w:cs="Work Sans"/>
          <w:b/>
          <w:bCs/>
          <w:color w:val="000000"/>
        </w:rPr>
        <w:t>GGC-1435-2025</w:t>
      </w:r>
      <w:r>
        <w:rPr>
          <w:rFonts w:ascii="Work Sans" w:eastAsia="Work Sans" w:hAnsi="Work Sans" w:cs="Work Sans"/>
          <w:color w:val="000000"/>
        </w:rPr>
        <w:t>, la destinación presupuestal quedaba atribuida de manera exclusiva al mismo.</w:t>
      </w:r>
    </w:p>
    <w:p w:rsidR="004D0A7F"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Tras solicitud elevada por la contratista ALEJANDRA VALENTINA ESTEFANÍA CABALLERO ORTEGA el 10 de octu</w:t>
      </w:r>
      <w:r>
        <w:rPr>
          <w:rFonts w:ascii="Work Sans" w:eastAsia="Work Sans" w:hAnsi="Work Sans" w:cs="Work Sans"/>
          <w:color w:val="000000"/>
        </w:rPr>
        <w:t xml:space="preserve">bre de 2025, se inició el trámite de cesión en la plataforma NEÓN, el cual actualmente comprende quince (15) pasos, siendo especialmente relevante el paso 541 – Elaboración de solicitud de cesión, en el que el área determina la necesidad de expedición del </w:t>
      </w:r>
      <w:r>
        <w:rPr>
          <w:rFonts w:ascii="Work Sans" w:eastAsia="Work Sans" w:hAnsi="Work Sans" w:cs="Work Sans"/>
          <w:color w:val="000000"/>
        </w:rPr>
        <w:t>Registro Presupuestal.</w:t>
      </w:r>
    </w:p>
    <w:p w:rsidR="004D0A7F" w:rsidRPr="003A409D"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 xml:space="preserve">Mediante reparto, el trámite fue asignado a la profesional Michel Vanessa Roncancio Quiroga, abogada contratista del Grupo de Gestión Contractual, y por parte del área de Hidrocarburos la abogada Sonia Paola Novoa Herrera actuó como </w:t>
      </w:r>
      <w:r>
        <w:rPr>
          <w:rFonts w:ascii="Work Sans" w:eastAsia="Work Sans" w:hAnsi="Work Sans" w:cs="Work Sans"/>
          <w:color w:val="000000"/>
        </w:rPr>
        <w:t>enlace</w:t>
      </w:r>
      <w:r w:rsidR="00C55E50">
        <w:rPr>
          <w:rFonts w:ascii="Work Sans" w:eastAsia="Work Sans" w:hAnsi="Work Sans" w:cs="Work Sans"/>
          <w:color w:val="000000"/>
        </w:rPr>
        <w:t>.</w:t>
      </w:r>
    </w:p>
    <w:p w:rsidR="004D0A7F"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 xml:space="preserve">Evaluado el perfil y atendidas las observaciones del Grupo de Gestión Contractual, se proyectó el acta de cesión y se publicaron en SECOP II los documentos correspondientes, quedando como cesionaria la señora </w:t>
      </w:r>
      <w:r>
        <w:rPr>
          <w:rFonts w:ascii="Work Sans" w:eastAsia="Work Sans" w:hAnsi="Work Sans" w:cs="Work Sans"/>
          <w:b/>
          <w:bCs/>
          <w:color w:val="000000"/>
        </w:rPr>
        <w:t>YURI ANDREA ALARCÓN RODRÍGUEZ</w:t>
      </w:r>
      <w:r>
        <w:rPr>
          <w:rFonts w:ascii="Work Sans" w:eastAsia="Work Sans" w:hAnsi="Work Sans" w:cs="Work Sans"/>
          <w:color w:val="000000"/>
        </w:rPr>
        <w:t xml:space="preserve"> a partir del 14 de octubre de 2025.</w:t>
      </w:r>
    </w:p>
    <w:p w:rsidR="004D0A7F" w:rsidRDefault="004F0EEA" w:rsidP="003A409D">
      <w:pPr>
        <w:numPr>
          <w:ilvl w:val="0"/>
          <w:numId w:val="2"/>
        </w:numPr>
        <w:pBdr>
          <w:top w:val="nil"/>
          <w:left w:val="nil"/>
          <w:bottom w:val="nil"/>
          <w:right w:val="nil"/>
          <w:between w:val="nil"/>
        </w:pBdr>
        <w:spacing w:before="120" w:after="120" w:line="320" w:lineRule="exact"/>
        <w:ind w:left="714" w:hanging="357"/>
        <w:jc w:val="both"/>
        <w:rPr>
          <w:rFonts w:ascii="Work Sans" w:eastAsia="Work Sans" w:hAnsi="Work Sans" w:cs="Work Sans"/>
          <w:color w:val="000000"/>
        </w:rPr>
      </w:pPr>
      <w:r>
        <w:rPr>
          <w:rFonts w:ascii="Work Sans" w:eastAsia="Work Sans" w:hAnsi="Work Sans" w:cs="Work Sans"/>
          <w:color w:val="000000"/>
        </w:rPr>
        <w:t>La cesión fue publicada en SECOP II el 14 de octubre de 2025, formalizando el cambio de contratista sin afectar la validez del contrato ni modificar sus condiciones esenciales.</w:t>
      </w:r>
    </w:p>
    <w:p w:rsidR="004D0A7F"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Tras la publicación en SECOP II, se cumpli</w:t>
      </w:r>
      <w:r>
        <w:rPr>
          <w:rFonts w:ascii="Work Sans" w:eastAsia="Work Sans" w:hAnsi="Work Sans" w:cs="Work Sans"/>
          <w:color w:val="000000"/>
        </w:rPr>
        <w:t>ó el paso correspondiente por parte del Grupo de Gestión Contractual (paso 534 – Publicación acta SECOP), lo cual permite la remisión automática del trámite al Grupo de Presupuesto, dependiendo de la configuración previa del paso 541 – Elaboración de solic</w:t>
      </w:r>
      <w:r>
        <w:rPr>
          <w:rFonts w:ascii="Work Sans" w:eastAsia="Work Sans" w:hAnsi="Work Sans" w:cs="Work Sans"/>
          <w:color w:val="000000"/>
        </w:rPr>
        <w:t>itud de cesión. Si bien la solicitud del RP corresponde al Grupo de Gestión Contractual en la etapa contractual, la determinación inicial en el paso 541 constituye una responsabilidad compartida con el área durante la etapa precontractual.</w:t>
      </w:r>
    </w:p>
    <w:p w:rsidR="004D0A7F"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El día 16 de oct</w:t>
      </w:r>
      <w:r>
        <w:rPr>
          <w:rFonts w:ascii="Work Sans" w:eastAsia="Work Sans" w:hAnsi="Work Sans" w:cs="Work Sans"/>
          <w:color w:val="000000"/>
        </w:rPr>
        <w:t xml:space="preserve">ubre de 2025 se obtuvo la cobertura de ARL a nombre de la cesionaria </w:t>
      </w:r>
      <w:r>
        <w:rPr>
          <w:rFonts w:ascii="Work Sans" w:eastAsia="Work Sans" w:hAnsi="Work Sans" w:cs="Work Sans"/>
          <w:b/>
          <w:bCs/>
          <w:color w:val="000000"/>
        </w:rPr>
        <w:t>YURI ANDREA ALARCÓN RODRÍGUEZ</w:t>
      </w:r>
      <w:r>
        <w:rPr>
          <w:rFonts w:ascii="Work Sans" w:eastAsia="Work Sans" w:hAnsi="Work Sans" w:cs="Work Sans"/>
          <w:color w:val="000000"/>
        </w:rPr>
        <w:t>, momento a partir del cual la contratista inició la ejecución de las actividades contractuales a su cargo.</w:t>
      </w:r>
    </w:p>
    <w:p w:rsidR="004D0A7F"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lastRenderedPageBreak/>
        <w:t>El área de Hidrocarburos detectó el error involunt</w:t>
      </w:r>
      <w:r>
        <w:rPr>
          <w:rFonts w:ascii="Work Sans" w:eastAsia="Work Sans" w:hAnsi="Work Sans" w:cs="Work Sans"/>
          <w:color w:val="000000"/>
        </w:rPr>
        <w:t>ario en la configuración realizada en el paso 541 y lo puso en conocimiento del Grupo de Gestión Contractual, con el fin de encontrar una alternativa para la debida emisión del Registro Presupuestal (RP).</w:t>
      </w:r>
    </w:p>
    <w:p w:rsidR="004D0A7F"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Identificada la afectación en los flujos, se solici</w:t>
      </w:r>
      <w:r>
        <w:rPr>
          <w:rFonts w:ascii="Work Sans" w:eastAsia="Work Sans" w:hAnsi="Work Sans" w:cs="Work Sans"/>
          <w:color w:val="000000"/>
        </w:rPr>
        <w:t>tó el RP acudiendo a Megasoft para habilitar nuevamente el paso correspondiente. En un esfuerzo conjunto entre la Dirección de Hidrocarburos y el Grupo de Gestión Contractual, se evidenció que, debido a dicho error involuntario en la plataforma NEÓN, el si</w:t>
      </w:r>
      <w:r>
        <w:rPr>
          <w:rFonts w:ascii="Work Sans" w:eastAsia="Work Sans" w:hAnsi="Work Sans" w:cs="Work Sans"/>
          <w:color w:val="000000"/>
        </w:rPr>
        <w:t>stema no remitió automáticamente la solicitud al Grupo de Presupuesto, lo que alteró el flujo regular del trámite. Como consecuencia, el proceso omitió los pasos 18, 27, 22, 32, 35 y 971 del flujo vigente y avanzó directamente al paso 545 – Terminación del</w:t>
      </w:r>
      <w:r>
        <w:rPr>
          <w:rFonts w:ascii="Work Sans" w:eastAsia="Work Sans" w:hAnsi="Work Sans" w:cs="Work Sans"/>
          <w:color w:val="000000"/>
        </w:rPr>
        <w:t xml:space="preserve"> acta de cesión, asignado al supervisor Julián Flórez Quiroga, lo cual dio lugar a la expedición tardía del Registro Presupuestal (RP).</w:t>
      </w:r>
    </w:p>
    <w:p w:rsidR="004D0A7F"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Una vez expedido, el Registro Presupuestal (RP) fue generado con efectos futuros, lo cual dejó sin respaldo presupuestal</w:t>
      </w:r>
      <w:r>
        <w:rPr>
          <w:rFonts w:ascii="Work Sans" w:eastAsia="Work Sans" w:hAnsi="Work Sans" w:cs="Work Sans"/>
          <w:color w:val="000000"/>
        </w:rPr>
        <w:t xml:space="preserve"> los días en los que </w:t>
      </w:r>
      <w:r>
        <w:rPr>
          <w:rFonts w:ascii="Work Sans" w:eastAsia="Work Sans" w:hAnsi="Work Sans" w:cs="Work Sans"/>
          <w:b/>
          <w:bCs/>
          <w:color w:val="000000"/>
        </w:rPr>
        <w:t>YURI ANDREA ALARCÓN RODRÍGUEZ</w:t>
      </w:r>
      <w:r>
        <w:rPr>
          <w:rFonts w:ascii="Work Sans" w:eastAsia="Work Sans" w:hAnsi="Work Sans" w:cs="Work Sans"/>
          <w:color w:val="000000"/>
        </w:rPr>
        <w:t xml:space="preserve"> ya había ejecutado actividades propias del contrato.</w:t>
      </w:r>
    </w:p>
    <w:p w:rsidR="004D0A7F"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 xml:space="preserve">En consecuencia, resulta necesario adoptar las medidas pertinentes para sanear el error involuntario, teniendo en cuenta que la contratista no puede verse afectada por una expedición tardía del </w:t>
      </w:r>
      <w:r w:rsidR="00C55E50">
        <w:rPr>
          <w:rFonts w:ascii="Work Sans" w:eastAsia="Work Sans" w:hAnsi="Work Sans" w:cs="Work Sans"/>
          <w:color w:val="000000"/>
        </w:rPr>
        <w:t xml:space="preserve">Registro Presupuestal </w:t>
      </w:r>
      <w:r w:rsidR="00C55E50">
        <w:rPr>
          <w:rFonts w:ascii="Work Sans" w:eastAsia="Work Sans" w:hAnsi="Work Sans" w:cs="Work Sans"/>
          <w:color w:val="000000"/>
        </w:rPr>
        <w:t>(</w:t>
      </w:r>
      <w:r>
        <w:rPr>
          <w:rFonts w:ascii="Work Sans" w:eastAsia="Work Sans" w:hAnsi="Work Sans" w:cs="Work Sans"/>
          <w:color w:val="000000"/>
        </w:rPr>
        <w:t>RP</w:t>
      </w:r>
      <w:r w:rsidR="00C55E50">
        <w:rPr>
          <w:rFonts w:ascii="Work Sans" w:eastAsia="Work Sans" w:hAnsi="Work Sans" w:cs="Work Sans"/>
          <w:color w:val="000000"/>
        </w:rPr>
        <w:t>)</w:t>
      </w:r>
      <w:r>
        <w:rPr>
          <w:rFonts w:ascii="Work Sans" w:eastAsia="Work Sans" w:hAnsi="Work Sans" w:cs="Work Sans"/>
          <w:color w:val="000000"/>
        </w:rPr>
        <w:t xml:space="preserve"> que derivó en el reconocimiento de honorarios únicamente ha</w:t>
      </w:r>
      <w:r>
        <w:rPr>
          <w:rFonts w:ascii="Work Sans" w:eastAsia="Work Sans" w:hAnsi="Work Sans" w:cs="Work Sans"/>
          <w:color w:val="000000"/>
        </w:rPr>
        <w:t>cia adelante, sin incluir la totalidad del tiempo durante el cual la profesional ejecutó de manera efectiva sus actividades contractuales</w:t>
      </w:r>
      <w:r w:rsidR="00C55E50">
        <w:rPr>
          <w:rFonts w:ascii="Work Sans" w:eastAsia="Work Sans" w:hAnsi="Work Sans" w:cs="Work Sans"/>
          <w:color w:val="000000"/>
        </w:rPr>
        <w:t>.</w:t>
      </w:r>
    </w:p>
    <w:p w:rsidR="004D0A7F" w:rsidRDefault="004F0EEA" w:rsidP="003A409D">
      <w:pPr>
        <w:numPr>
          <w:ilvl w:val="0"/>
          <w:numId w:val="2"/>
        </w:numPr>
        <w:pBdr>
          <w:top w:val="nil"/>
          <w:left w:val="nil"/>
          <w:bottom w:val="nil"/>
          <w:right w:val="nil"/>
          <w:between w:val="nil"/>
        </w:pBdr>
        <w:spacing w:before="120" w:after="120" w:line="320" w:lineRule="exact"/>
        <w:jc w:val="both"/>
        <w:rPr>
          <w:rFonts w:ascii="Work Sans" w:eastAsia="Work Sans" w:hAnsi="Work Sans" w:cs="Work Sans"/>
          <w:color w:val="000000"/>
        </w:rPr>
      </w:pPr>
      <w:r>
        <w:rPr>
          <w:rFonts w:ascii="Work Sans" w:eastAsia="Work Sans" w:hAnsi="Work Sans" w:cs="Work Sans"/>
          <w:color w:val="000000"/>
        </w:rPr>
        <w:t xml:space="preserve">En atención a lo expuesto, y considerando que el vicio identificado es de naturaleza exclusivamente procedimental, se </w:t>
      </w:r>
      <w:r>
        <w:rPr>
          <w:rFonts w:ascii="Work Sans" w:eastAsia="Work Sans" w:hAnsi="Work Sans" w:cs="Work Sans"/>
          <w:color w:val="000000"/>
        </w:rPr>
        <w:t>hace necesario acudir a la figura de saneamiento prevista en el artículo 49 de la Ley 80 de 1993, con el fin de reconducir el trámite al flujo regular y garantizar la continuidad y validez de la gestión contractual.</w:t>
      </w:r>
    </w:p>
    <w:p w:rsidR="004D0A7F" w:rsidRDefault="004D0A7F">
      <w:pPr>
        <w:jc w:val="both"/>
        <w:rPr>
          <w:rFonts w:ascii="Work Sans" w:eastAsia="Work Sans" w:hAnsi="Work Sans" w:cs="Work Sans"/>
        </w:rPr>
      </w:pPr>
    </w:p>
    <w:p w:rsidR="004D0A7F" w:rsidRDefault="004F0EEA">
      <w:pPr>
        <w:numPr>
          <w:ilvl w:val="0"/>
          <w:numId w:val="1"/>
        </w:numPr>
        <w:pBdr>
          <w:top w:val="nil"/>
          <w:left w:val="nil"/>
          <w:bottom w:val="nil"/>
          <w:right w:val="nil"/>
          <w:between w:val="nil"/>
        </w:pBdr>
        <w:jc w:val="center"/>
        <w:rPr>
          <w:rFonts w:ascii="Work Sans" w:eastAsia="Work Sans" w:hAnsi="Work Sans" w:cs="Work Sans"/>
          <w:b/>
          <w:bCs/>
          <w:color w:val="000000"/>
        </w:rPr>
      </w:pPr>
      <w:r>
        <w:rPr>
          <w:rFonts w:ascii="Work Sans" w:eastAsia="Work Sans" w:hAnsi="Work Sans" w:cs="Work Sans"/>
          <w:b/>
          <w:bCs/>
          <w:color w:val="000000"/>
        </w:rPr>
        <w:t>FUNDAMENTOS JURIDICOS</w:t>
      </w:r>
    </w:p>
    <w:p w:rsidR="004D0A7F" w:rsidRDefault="004D0A7F">
      <w:pPr>
        <w:ind w:right="51"/>
        <w:jc w:val="both"/>
        <w:rPr>
          <w:rFonts w:ascii="Work Sans" w:eastAsia="Work Sans" w:hAnsi="Work Sans" w:cs="Work Sans"/>
        </w:rPr>
      </w:pPr>
    </w:p>
    <w:p w:rsidR="004D0A7F" w:rsidRDefault="004D0A7F">
      <w:pPr>
        <w:ind w:right="51"/>
        <w:jc w:val="both"/>
        <w:rPr>
          <w:rFonts w:ascii="Work Sans" w:eastAsia="Work Sans" w:hAnsi="Work Sans" w:cs="Work Sans"/>
        </w:rPr>
      </w:pPr>
    </w:p>
    <w:p w:rsidR="004D0A7F" w:rsidRDefault="004F0EEA">
      <w:pPr>
        <w:ind w:right="51"/>
        <w:jc w:val="both"/>
        <w:rPr>
          <w:rFonts w:ascii="Work Sans" w:eastAsia="Work Sans" w:hAnsi="Work Sans" w:cs="Work Sans"/>
        </w:rPr>
      </w:pPr>
      <w:r>
        <w:rPr>
          <w:rFonts w:ascii="Work Sans" w:eastAsia="Work Sans" w:hAnsi="Work Sans" w:cs="Work Sans"/>
        </w:rPr>
        <w:t>Resulta pertine</w:t>
      </w:r>
      <w:r>
        <w:rPr>
          <w:rFonts w:ascii="Work Sans" w:eastAsia="Work Sans" w:hAnsi="Work Sans" w:cs="Work Sans"/>
        </w:rPr>
        <w:t xml:space="preserve">nte adoptar las medidas necesarias para sanear el error involuntario presentado en la etapa contractual, toda vez no se puede afectar a la contratista por un error involuntario que produjo la expedición tardía del Registro Presupuestal y reconocimiento de </w:t>
      </w:r>
      <w:r>
        <w:rPr>
          <w:rFonts w:ascii="Work Sans" w:eastAsia="Work Sans" w:hAnsi="Work Sans" w:cs="Work Sans"/>
        </w:rPr>
        <w:t xml:space="preserve">honorarios a </w:t>
      </w:r>
      <w:r>
        <w:rPr>
          <w:rFonts w:ascii="Work Sans" w:eastAsia="Work Sans" w:hAnsi="Work Sans" w:cs="Work Sans"/>
        </w:rPr>
        <w:lastRenderedPageBreak/>
        <w:t xml:space="preserve">futuro sin reconocer la totalidad de días donde la contratista </w:t>
      </w:r>
      <w:r>
        <w:rPr>
          <w:rFonts w:ascii="Work Sans" w:eastAsia="Work Sans" w:hAnsi="Work Sans" w:cs="Work Sans"/>
          <w:b/>
          <w:bCs/>
        </w:rPr>
        <w:t>YURI ANDREA ALARCON RODRÍGUEZ</w:t>
      </w:r>
      <w:r>
        <w:rPr>
          <w:rFonts w:ascii="Work Sans" w:eastAsia="Work Sans" w:hAnsi="Work Sans" w:cs="Work Sans"/>
        </w:rPr>
        <w:t xml:space="preserve"> desempeño sus actividades como contratista. </w:t>
      </w:r>
    </w:p>
    <w:p w:rsidR="004D0A7F" w:rsidRDefault="004D0A7F">
      <w:pPr>
        <w:ind w:right="51"/>
        <w:jc w:val="both"/>
        <w:rPr>
          <w:rFonts w:ascii="Work Sans" w:eastAsia="Work Sans" w:hAnsi="Work Sans" w:cs="Work Sans"/>
        </w:rPr>
      </w:pPr>
    </w:p>
    <w:p w:rsidR="004D0A7F" w:rsidRDefault="004D0A7F">
      <w:pPr>
        <w:jc w:val="both"/>
        <w:rPr>
          <w:rFonts w:ascii="Work Sans" w:eastAsia="Work Sans" w:hAnsi="Work Sans" w:cs="Work Sans"/>
        </w:rPr>
      </w:pPr>
    </w:p>
    <w:p w:rsidR="004D0A7F" w:rsidRDefault="004F0EEA">
      <w:pPr>
        <w:numPr>
          <w:ilvl w:val="1"/>
          <w:numId w:val="1"/>
        </w:numPr>
        <w:pBdr>
          <w:top w:val="nil"/>
          <w:left w:val="nil"/>
          <w:bottom w:val="nil"/>
          <w:right w:val="nil"/>
          <w:between w:val="nil"/>
        </w:pBdr>
        <w:jc w:val="both"/>
        <w:rPr>
          <w:rFonts w:ascii="Work Sans" w:eastAsia="Work Sans" w:hAnsi="Work Sans" w:cs="Work Sans"/>
          <w:b/>
          <w:bCs/>
          <w:color w:val="000000"/>
        </w:rPr>
      </w:pPr>
      <w:r>
        <w:rPr>
          <w:rFonts w:ascii="Work Sans" w:eastAsia="Work Sans" w:hAnsi="Work Sans" w:cs="Work Sans"/>
          <w:b/>
          <w:bCs/>
          <w:color w:val="000000"/>
        </w:rPr>
        <w:t>Existencia y validez del contrato estatal</w:t>
      </w:r>
    </w:p>
    <w:p w:rsidR="004D0A7F" w:rsidRDefault="004D0A7F">
      <w:pPr>
        <w:pBdr>
          <w:top w:val="nil"/>
          <w:left w:val="nil"/>
          <w:bottom w:val="nil"/>
          <w:right w:val="nil"/>
          <w:between w:val="nil"/>
        </w:pBdr>
        <w:jc w:val="both"/>
        <w:rPr>
          <w:rFonts w:ascii="Work Sans" w:eastAsia="Work Sans" w:hAnsi="Work Sans" w:cs="Work Sans"/>
        </w:rPr>
      </w:pPr>
    </w:p>
    <w:p w:rsidR="004D0A7F" w:rsidRDefault="004F0EEA">
      <w:pPr>
        <w:spacing w:before="120" w:after="120" w:line="320" w:lineRule="auto"/>
        <w:jc w:val="both"/>
        <w:rPr>
          <w:rFonts w:ascii="Work Sans" w:eastAsia="Work Sans" w:hAnsi="Work Sans" w:cs="Work Sans"/>
        </w:rPr>
      </w:pPr>
      <w:r>
        <w:rPr>
          <w:rFonts w:ascii="Work Sans" w:eastAsia="Work Sans" w:hAnsi="Work Sans" w:cs="Work Sans"/>
        </w:rPr>
        <w:t xml:space="preserve">La jurisprudencia del Consejo de Estado ha reiterado de manera constante que el </w:t>
      </w:r>
      <w:r w:rsidR="00950445">
        <w:rPr>
          <w:rFonts w:ascii="Work Sans" w:eastAsia="Work Sans" w:hAnsi="Work Sans" w:cs="Work Sans"/>
        </w:rPr>
        <w:t>R</w:t>
      </w:r>
      <w:r>
        <w:rPr>
          <w:rFonts w:ascii="Work Sans" w:eastAsia="Work Sans" w:hAnsi="Work Sans" w:cs="Work Sans"/>
        </w:rPr>
        <w:t xml:space="preserve">egistro </w:t>
      </w:r>
      <w:r w:rsidR="00950445">
        <w:rPr>
          <w:rFonts w:ascii="Work Sans" w:eastAsia="Work Sans" w:hAnsi="Work Sans" w:cs="Work Sans"/>
        </w:rPr>
        <w:t>P</w:t>
      </w:r>
      <w:r>
        <w:rPr>
          <w:rFonts w:ascii="Work Sans" w:eastAsia="Work Sans" w:hAnsi="Work Sans" w:cs="Work Sans"/>
        </w:rPr>
        <w:t>resupuestal (RP) no constituye un requisito para la existencia del contrato estatal, sino un presupuesto necesario para su ejecución.</w:t>
      </w:r>
    </w:p>
    <w:p w:rsidR="004D0A7F" w:rsidRDefault="004D0A7F">
      <w:pPr>
        <w:jc w:val="both"/>
        <w:rPr>
          <w:rFonts w:ascii="Work Sans" w:eastAsia="Work Sans" w:hAnsi="Work Sans" w:cs="Work Sans"/>
        </w:rPr>
      </w:pPr>
    </w:p>
    <w:p w:rsidR="004D0A7F" w:rsidRDefault="004F0EEA">
      <w:pPr>
        <w:jc w:val="both"/>
        <w:rPr>
          <w:rFonts w:ascii="Work Sans" w:eastAsia="Work Sans" w:hAnsi="Work Sans" w:cs="Work Sans"/>
        </w:rPr>
      </w:pPr>
      <w:r>
        <w:rPr>
          <w:rFonts w:ascii="Work Sans" w:eastAsia="Work Sans" w:hAnsi="Work Sans" w:cs="Work Sans"/>
        </w:rPr>
        <w:t>En este sentido, el artículo 41 d</w:t>
      </w:r>
      <w:r>
        <w:rPr>
          <w:rFonts w:ascii="Work Sans" w:eastAsia="Work Sans" w:hAnsi="Work Sans" w:cs="Work Sans"/>
        </w:rPr>
        <w:t>e la Ley 80 de 1993 establece expresamente que:</w:t>
      </w:r>
    </w:p>
    <w:p w:rsidR="004D0A7F" w:rsidRDefault="004D0A7F">
      <w:pPr>
        <w:jc w:val="both"/>
        <w:rPr>
          <w:rFonts w:ascii="Work Sans" w:eastAsia="Work Sans" w:hAnsi="Work Sans" w:cs="Work Sans"/>
        </w:rPr>
      </w:pPr>
    </w:p>
    <w:p w:rsidR="004D0A7F" w:rsidRPr="00950445" w:rsidRDefault="004F0EEA" w:rsidP="00950445">
      <w:pPr>
        <w:tabs>
          <w:tab w:val="left" w:pos="9072"/>
        </w:tabs>
        <w:ind w:left="426" w:right="332"/>
        <w:jc w:val="both"/>
        <w:rPr>
          <w:rFonts w:ascii="Work Sans" w:eastAsia="Work Sans" w:hAnsi="Work Sans" w:cs="Work Sans"/>
          <w:i/>
        </w:rPr>
      </w:pPr>
      <w:r w:rsidRPr="00950445">
        <w:rPr>
          <w:rFonts w:ascii="Work Sans" w:eastAsia="Work Sans" w:hAnsi="Work Sans" w:cs="Work Sans"/>
          <w:i/>
        </w:rPr>
        <w:t>“Los contratos del Estado se perfeccionan cuando se logre acuerdo sobre el objeto y la contraprestación y éste se eleve a escrito.”</w:t>
      </w:r>
    </w:p>
    <w:p w:rsidR="004D0A7F" w:rsidRDefault="004D0A7F" w:rsidP="00950445">
      <w:pPr>
        <w:pBdr>
          <w:top w:val="nil"/>
          <w:left w:val="nil"/>
          <w:bottom w:val="nil"/>
          <w:right w:val="nil"/>
          <w:between w:val="nil"/>
        </w:pBdr>
        <w:ind w:right="332"/>
        <w:jc w:val="both"/>
        <w:rPr>
          <w:rFonts w:ascii="Work Sans" w:eastAsia="Work Sans" w:hAnsi="Work Sans" w:cs="Work Sans"/>
        </w:rPr>
      </w:pPr>
    </w:p>
    <w:p w:rsidR="004D0A7F" w:rsidRDefault="004F0EEA" w:rsidP="00950445">
      <w:pPr>
        <w:pBdr>
          <w:top w:val="nil"/>
          <w:left w:val="nil"/>
          <w:bottom w:val="nil"/>
          <w:right w:val="nil"/>
          <w:between w:val="nil"/>
        </w:pBdr>
        <w:jc w:val="both"/>
        <w:rPr>
          <w:rFonts w:ascii="Work Sans" w:eastAsia="Work Sans" w:hAnsi="Work Sans" w:cs="Work Sans"/>
        </w:rPr>
      </w:pPr>
      <w:r>
        <w:rPr>
          <w:rFonts w:ascii="Work Sans" w:eastAsia="Work Sans" w:hAnsi="Work Sans" w:cs="Work Sans"/>
        </w:rPr>
        <w:t>De esta disposición se desprende que el registro presupuestal no es un req</w:t>
      </w:r>
      <w:r>
        <w:rPr>
          <w:rFonts w:ascii="Work Sans" w:eastAsia="Work Sans" w:hAnsi="Work Sans" w:cs="Work Sans"/>
        </w:rPr>
        <w:t>uisito de perfeccionamiento, sino un requisito para la ejecución, cuya ausencia o expedición tardía no afecta la validez ni la existencia del contrato, sino únicamente la habilitación para iniciar actividades.</w:t>
      </w:r>
    </w:p>
    <w:p w:rsidR="004D0A7F" w:rsidRDefault="004D0A7F" w:rsidP="00950445">
      <w:pPr>
        <w:pBdr>
          <w:top w:val="nil"/>
          <w:left w:val="nil"/>
          <w:bottom w:val="nil"/>
          <w:right w:val="nil"/>
          <w:between w:val="nil"/>
        </w:pBdr>
        <w:jc w:val="both"/>
        <w:rPr>
          <w:rFonts w:ascii="Work Sans" w:eastAsia="Work Sans" w:hAnsi="Work Sans" w:cs="Work Sans"/>
        </w:rPr>
      </w:pPr>
    </w:p>
    <w:p w:rsidR="004D0A7F" w:rsidRDefault="004F0EEA">
      <w:pPr>
        <w:jc w:val="both"/>
        <w:rPr>
          <w:rFonts w:ascii="Work Sans" w:eastAsia="Work Sans" w:hAnsi="Work Sans" w:cs="Work Sans"/>
        </w:rPr>
      </w:pPr>
      <w:r>
        <w:rPr>
          <w:rFonts w:ascii="Work Sans" w:eastAsia="Work Sans" w:hAnsi="Work Sans" w:cs="Work Sans"/>
        </w:rPr>
        <w:t>La jurisprudencia del Consejo de Estado ha re</w:t>
      </w:r>
      <w:r>
        <w:rPr>
          <w:rFonts w:ascii="Work Sans" w:eastAsia="Work Sans" w:hAnsi="Work Sans" w:cs="Work Sans"/>
        </w:rPr>
        <w:t xml:space="preserve">iterado de manera uniforme que el </w:t>
      </w:r>
      <w:r w:rsidR="00950445">
        <w:rPr>
          <w:rFonts w:ascii="Work Sans" w:eastAsia="Work Sans" w:hAnsi="Work Sans" w:cs="Work Sans"/>
        </w:rPr>
        <w:t>R</w:t>
      </w:r>
      <w:r>
        <w:rPr>
          <w:rFonts w:ascii="Work Sans" w:eastAsia="Work Sans" w:hAnsi="Work Sans" w:cs="Work Sans"/>
        </w:rPr>
        <w:t xml:space="preserve">egistro </w:t>
      </w:r>
      <w:r w:rsidR="00950445">
        <w:rPr>
          <w:rFonts w:ascii="Work Sans" w:eastAsia="Work Sans" w:hAnsi="Work Sans" w:cs="Work Sans"/>
        </w:rPr>
        <w:t>P</w:t>
      </w:r>
      <w:r>
        <w:rPr>
          <w:rFonts w:ascii="Work Sans" w:eastAsia="Work Sans" w:hAnsi="Work Sans" w:cs="Work Sans"/>
        </w:rPr>
        <w:t>resupuestal (RP) no constituye un requisito para la existencia del contrato estatal, sino un presupuesto habilitante para su ejecución. En múltiples providencias, especialmente de las Secciones Tercera y Quinta,</w:t>
      </w:r>
      <w:r>
        <w:rPr>
          <w:rFonts w:ascii="Work Sans" w:eastAsia="Work Sans" w:hAnsi="Work Sans" w:cs="Work Sans"/>
          <w:vertAlign w:val="superscript"/>
        </w:rPr>
        <w:footnoteReference w:id="1"/>
      </w:r>
      <w:r>
        <w:rPr>
          <w:rFonts w:ascii="Work Sans" w:eastAsia="Work Sans" w:hAnsi="Work Sans" w:cs="Work Sans"/>
        </w:rPr>
        <w:t xml:space="preserve">Se ha precisado que el contrato estatal se perfecciona con la </w:t>
      </w:r>
      <w:r>
        <w:rPr>
          <w:rFonts w:ascii="Work Sans" w:eastAsia="Work Sans" w:hAnsi="Work Sans" w:cs="Work Sans"/>
        </w:rPr>
        <w:lastRenderedPageBreak/>
        <w:t>concurrencia del acuerdo de voluntades y el cumplimiento de los requisitos formales previstos en la ley.</w:t>
      </w:r>
    </w:p>
    <w:p w:rsidR="004D0A7F" w:rsidRDefault="004F0EEA">
      <w:pPr>
        <w:spacing w:before="280" w:after="280"/>
        <w:jc w:val="both"/>
        <w:rPr>
          <w:rFonts w:ascii="Work Sans" w:eastAsia="Work Sans" w:hAnsi="Work Sans" w:cs="Work Sans"/>
        </w:rPr>
      </w:pPr>
      <w:r>
        <w:rPr>
          <w:rFonts w:ascii="Work Sans" w:eastAsia="Work Sans" w:hAnsi="Work Sans" w:cs="Work Sans"/>
        </w:rPr>
        <w:t>Asimismo, la postura doctrinal y jurisprudencial ha venido consolidándose desde la senten</w:t>
      </w:r>
      <w:r>
        <w:rPr>
          <w:rFonts w:ascii="Work Sans" w:eastAsia="Work Sans" w:hAnsi="Work Sans" w:cs="Work Sans"/>
        </w:rPr>
        <w:t>cia del 28 de septiembre de 2006, Exp. 15.307, en la cual el Consejo de Estado precisó que la ausencia o tardanza del registro presupuestal no afecta la existencia ni la validez del contrato, pues dicho registro corresponde exclusivamente a un requisito de</w:t>
      </w:r>
      <w:r>
        <w:rPr>
          <w:rFonts w:ascii="Work Sans" w:eastAsia="Work Sans" w:hAnsi="Work Sans" w:cs="Work Sans"/>
        </w:rPr>
        <w:t xml:space="preserve"> ejecución contractual.</w:t>
      </w:r>
    </w:p>
    <w:p w:rsidR="004D0A7F" w:rsidRDefault="004F0EEA">
      <w:pPr>
        <w:spacing w:before="280" w:after="280"/>
        <w:jc w:val="both"/>
        <w:rPr>
          <w:rFonts w:ascii="Work Sans" w:eastAsia="Work Sans" w:hAnsi="Work Sans" w:cs="Work Sans"/>
        </w:rPr>
      </w:pPr>
      <w:r>
        <w:rPr>
          <w:rFonts w:ascii="Work Sans" w:eastAsia="Work Sans" w:hAnsi="Work Sans" w:cs="Work Sans"/>
        </w:rPr>
        <w:t>En línea con ello, se ha entendido que el registro presupuestal constituye la certificación mediante la cual se acredita la existencia de apropiación presupuestal destinada al cumplimiento de las obligaciones pecuniarias del contrat</w:t>
      </w:r>
      <w:r>
        <w:rPr>
          <w:rFonts w:ascii="Work Sans" w:eastAsia="Work Sans" w:hAnsi="Work Sans" w:cs="Work Sans"/>
        </w:rPr>
        <w:t>o. Su finalidad es prevenir erogaciones superiores a las autorizadas, evitar desviaciones de recursos y garantizar que los compromisos asumidos cuenten con respaldo presupuestal suficiente.</w:t>
      </w:r>
    </w:p>
    <w:p w:rsidR="004D0A7F" w:rsidRDefault="004F0EEA">
      <w:pPr>
        <w:spacing w:before="280" w:after="280"/>
        <w:jc w:val="both"/>
        <w:rPr>
          <w:rFonts w:ascii="Work Sans" w:eastAsia="Work Sans" w:hAnsi="Work Sans" w:cs="Work Sans"/>
        </w:rPr>
      </w:pPr>
      <w:r>
        <w:rPr>
          <w:rFonts w:ascii="Work Sans" w:eastAsia="Work Sans" w:hAnsi="Work Sans" w:cs="Work Sans"/>
        </w:rPr>
        <w:t>De conformidad con lo expuesto por la jurisprudencia y la doctrina</w:t>
      </w:r>
      <w:r>
        <w:rPr>
          <w:rFonts w:ascii="Work Sans" w:eastAsia="Work Sans" w:hAnsi="Work Sans" w:cs="Work Sans"/>
        </w:rPr>
        <w:t xml:space="preserve"> especializada, se tiene que:</w:t>
      </w:r>
    </w:p>
    <w:p w:rsidR="004D0A7F" w:rsidRDefault="004F0EEA">
      <w:pPr>
        <w:numPr>
          <w:ilvl w:val="0"/>
          <w:numId w:val="3"/>
        </w:numPr>
        <w:spacing w:before="280"/>
        <w:jc w:val="both"/>
        <w:rPr>
          <w:rFonts w:ascii="Work Sans" w:eastAsia="Work Sans" w:hAnsi="Work Sans" w:cs="Work Sans"/>
        </w:rPr>
      </w:pPr>
      <w:r>
        <w:rPr>
          <w:rFonts w:ascii="Work Sans" w:eastAsia="Work Sans" w:hAnsi="Work Sans" w:cs="Work Sans"/>
        </w:rPr>
        <w:t>Gramátical y jurídicamente, un contrato es perfecto cuando existe, es decir, cuando concurren sus elementos esenciales.</w:t>
      </w:r>
    </w:p>
    <w:p w:rsidR="004D0A7F" w:rsidRDefault="004F0EEA">
      <w:pPr>
        <w:numPr>
          <w:ilvl w:val="0"/>
          <w:numId w:val="3"/>
        </w:numPr>
        <w:jc w:val="both"/>
        <w:rPr>
          <w:rFonts w:ascii="Work Sans" w:eastAsia="Work Sans" w:hAnsi="Work Sans" w:cs="Work Sans"/>
        </w:rPr>
      </w:pPr>
      <w:r>
        <w:rPr>
          <w:rFonts w:ascii="Work Sans" w:eastAsia="Work Sans" w:hAnsi="Work Sans" w:cs="Work Sans"/>
        </w:rPr>
        <w:t>En virtud del artículo 41 de la Ley 80 de 1993, el contrato estatal existe —o se perfecciona— cuando “se l</w:t>
      </w:r>
      <w:r>
        <w:rPr>
          <w:rFonts w:ascii="Work Sans" w:eastAsia="Work Sans" w:hAnsi="Work Sans" w:cs="Work Sans"/>
        </w:rPr>
        <w:t>ogra acuerdo sobre el objeto y la contraprestación y éste se eleve a escrito”.</w:t>
      </w:r>
    </w:p>
    <w:p w:rsidR="004D0A7F" w:rsidRDefault="004F0EEA">
      <w:pPr>
        <w:numPr>
          <w:ilvl w:val="0"/>
          <w:numId w:val="3"/>
        </w:numPr>
        <w:jc w:val="both"/>
        <w:rPr>
          <w:rFonts w:ascii="Work Sans" w:eastAsia="Work Sans" w:hAnsi="Work Sans" w:cs="Work Sans"/>
        </w:rPr>
      </w:pPr>
      <w:r>
        <w:rPr>
          <w:rFonts w:ascii="Work Sans" w:eastAsia="Work Sans" w:hAnsi="Work Sans" w:cs="Work Sans"/>
        </w:rPr>
        <w:t>El contrato se torna ejecutable sólo cuando se cumplen los requisitos previstos en el inciso segundo del mismo artículo, interpretado en concordancia con el artículo 49 de la Le</w:t>
      </w:r>
      <w:r>
        <w:rPr>
          <w:rFonts w:ascii="Work Sans" w:eastAsia="Work Sans" w:hAnsi="Work Sans" w:cs="Work Sans"/>
        </w:rPr>
        <w:t>y 179 de 1994, compilado en el artículo 71 del Estatuto Orgánico del Presupuesto (D. 111 de 1996).</w:t>
      </w:r>
    </w:p>
    <w:p w:rsidR="004D0A7F" w:rsidRDefault="004F0EEA">
      <w:pPr>
        <w:numPr>
          <w:ilvl w:val="0"/>
          <w:numId w:val="3"/>
        </w:numPr>
        <w:spacing w:after="280"/>
        <w:jc w:val="both"/>
        <w:rPr>
          <w:rFonts w:ascii="Work Sans" w:eastAsia="Work Sans" w:hAnsi="Work Sans" w:cs="Work Sans"/>
        </w:rPr>
      </w:pPr>
      <w:r>
        <w:rPr>
          <w:rFonts w:ascii="Work Sans" w:eastAsia="Work Sans" w:hAnsi="Work Sans" w:cs="Work Sans"/>
        </w:rPr>
        <w:t>En consecuencia, el registro presupuestal no constituye una condición de existencia del contrato estatal, sino un presupuesto para su ejecución</w:t>
      </w:r>
      <w:r>
        <w:rPr>
          <w:rFonts w:ascii="Work Sans" w:eastAsia="Work Sans" w:hAnsi="Work Sans" w:cs="Work Sans"/>
          <w:vertAlign w:val="superscript"/>
        </w:rPr>
        <w:footnoteReference w:id="2"/>
      </w:r>
    </w:p>
    <w:p w:rsidR="004D0A7F" w:rsidRDefault="004F0EEA">
      <w:pPr>
        <w:spacing w:after="280"/>
        <w:jc w:val="both"/>
        <w:rPr>
          <w:rFonts w:ascii="Work Sans" w:eastAsia="Work Sans" w:hAnsi="Work Sans" w:cs="Work Sans"/>
        </w:rPr>
      </w:pPr>
      <w:r>
        <w:rPr>
          <w:rFonts w:ascii="Work Sans" w:eastAsia="Work Sans" w:hAnsi="Work Sans" w:cs="Work Sans"/>
        </w:rPr>
        <w:lastRenderedPageBreak/>
        <w:t>Asimismo, en diferentes conceptos emitidos por la Agencia Nacional de Contratación Pública – Colombia Compra Eficiente, entre ellos los Conceptos C-1039 de 2024, C-075 de 2021 y C-844 de 2020, se ha explicado de manera clara que el registro presupuestal, a</w:t>
      </w:r>
      <w:r>
        <w:rPr>
          <w:rFonts w:ascii="Work Sans" w:eastAsia="Work Sans" w:hAnsi="Work Sans" w:cs="Work Sans"/>
        </w:rPr>
        <w:t>l ser un requisito de ejecución del contrato, normalmente se expide con posterioridad a su celebración.</w:t>
      </w:r>
    </w:p>
    <w:p w:rsidR="004D0A7F" w:rsidRDefault="004F0EEA">
      <w:pPr>
        <w:spacing w:after="280"/>
        <w:jc w:val="both"/>
        <w:rPr>
          <w:rFonts w:ascii="Work Sans" w:eastAsia="Work Sans" w:hAnsi="Work Sans" w:cs="Work Sans"/>
        </w:rPr>
      </w:pPr>
      <w:r>
        <w:rPr>
          <w:rFonts w:ascii="Work Sans" w:eastAsia="Work Sans" w:hAnsi="Work Sans" w:cs="Work Sans"/>
        </w:rPr>
        <w:t xml:space="preserve">Teniendo en cuenta lo anterior, puede afirmarse que el contrato No. </w:t>
      </w:r>
      <w:r>
        <w:rPr>
          <w:rFonts w:ascii="Work Sans" w:eastAsia="Work Sans" w:hAnsi="Work Sans" w:cs="Work Sans"/>
          <w:b/>
          <w:bCs/>
        </w:rPr>
        <w:t>GGC-1435-2025</w:t>
      </w:r>
      <w:r>
        <w:rPr>
          <w:rFonts w:ascii="Work Sans" w:eastAsia="Work Sans" w:hAnsi="Work Sans" w:cs="Work Sans"/>
        </w:rPr>
        <w:t xml:space="preserve"> existe, puesto que la expedición del registro presupuestal no afecta l</w:t>
      </w:r>
      <w:r>
        <w:rPr>
          <w:rFonts w:ascii="Work Sans" w:eastAsia="Work Sans" w:hAnsi="Work Sans" w:cs="Work Sans"/>
        </w:rPr>
        <w:t>a existencia ni la validez del contrato, dado que no constituye un requisito esencial ni un elemento de validez en materia contractual.</w:t>
      </w:r>
    </w:p>
    <w:p w:rsidR="004D0A7F" w:rsidRDefault="004F0EEA">
      <w:pPr>
        <w:numPr>
          <w:ilvl w:val="1"/>
          <w:numId w:val="1"/>
        </w:numPr>
        <w:pBdr>
          <w:top w:val="nil"/>
          <w:left w:val="nil"/>
          <w:bottom w:val="nil"/>
          <w:right w:val="nil"/>
          <w:between w:val="nil"/>
        </w:pBdr>
        <w:jc w:val="both"/>
        <w:rPr>
          <w:rFonts w:ascii="Work Sans" w:eastAsia="Work Sans" w:hAnsi="Work Sans" w:cs="Work Sans"/>
          <w:b/>
          <w:bCs/>
          <w:color w:val="000000"/>
        </w:rPr>
      </w:pPr>
      <w:r>
        <w:rPr>
          <w:rFonts w:ascii="Work Sans" w:eastAsia="Work Sans" w:hAnsi="Work Sans" w:cs="Work Sans"/>
          <w:b/>
          <w:bCs/>
          <w:color w:val="000000"/>
        </w:rPr>
        <w:t xml:space="preserve">Registro presupuestal </w:t>
      </w:r>
    </w:p>
    <w:p w:rsidR="004D0A7F" w:rsidRDefault="004D0A7F" w:rsidP="00FB7248">
      <w:pPr>
        <w:spacing w:before="120" w:after="120" w:line="320" w:lineRule="exact"/>
        <w:jc w:val="both"/>
        <w:rPr>
          <w:rFonts w:ascii="Work Sans" w:eastAsia="Work Sans" w:hAnsi="Work Sans" w:cs="Work Sans"/>
        </w:rPr>
      </w:pPr>
    </w:p>
    <w:p w:rsidR="004D0A7F" w:rsidRDefault="004F0EEA" w:rsidP="00FB7248">
      <w:pPr>
        <w:spacing w:before="120" w:after="120" w:line="320" w:lineRule="exact"/>
        <w:jc w:val="both"/>
        <w:rPr>
          <w:rFonts w:ascii="Work Sans" w:eastAsia="Work Sans" w:hAnsi="Work Sans" w:cs="Work Sans"/>
        </w:rPr>
      </w:pPr>
      <w:r>
        <w:rPr>
          <w:rFonts w:ascii="Work Sans" w:eastAsia="Work Sans" w:hAnsi="Work Sans" w:cs="Work Sans"/>
        </w:rPr>
        <w:t>En relación con la naturaleza y finalidad del registro presupuestal, la Sección Tercera, Subsecc</w:t>
      </w:r>
      <w:r>
        <w:rPr>
          <w:rFonts w:ascii="Work Sans" w:eastAsia="Work Sans" w:hAnsi="Work Sans" w:cs="Work Sans"/>
        </w:rPr>
        <w:t>ión C, del Consejo de Estado, en sentencia del 3 de mayo de 2017, dentro del expediente 05001-23-31-000-1998-01350-01 (28565), precisó que:</w:t>
      </w:r>
    </w:p>
    <w:p w:rsidR="004D0A7F" w:rsidRPr="0025366A" w:rsidRDefault="004F0EEA" w:rsidP="00FB7248">
      <w:pPr>
        <w:spacing w:before="120" w:after="120" w:line="320" w:lineRule="exact"/>
        <w:ind w:left="426" w:right="332"/>
        <w:jc w:val="both"/>
        <w:rPr>
          <w:rFonts w:ascii="Work Sans" w:eastAsia="Work Sans" w:hAnsi="Work Sans" w:cs="Work Sans"/>
        </w:rPr>
      </w:pPr>
      <w:r w:rsidRPr="0025366A">
        <w:rPr>
          <w:rFonts w:ascii="Work Sans" w:eastAsia="Work Sans" w:hAnsi="Work Sans" w:cs="Work Sans"/>
        </w:rPr>
        <w:t>“El registro presupuestal garantiza las apropiaciones específicas para afectar un negocio jurídico concreto: su prec</w:t>
      </w:r>
      <w:r w:rsidRPr="0025366A">
        <w:rPr>
          <w:rFonts w:ascii="Work Sans" w:eastAsia="Work Sans" w:hAnsi="Work Sans" w:cs="Work Sans"/>
        </w:rPr>
        <w:t>io, un contratista identificado y un plazo de ejecución concreto. En este escenario, el certificado incluye la información básica del negocio y el artículo 20 del Decreto 111 de 1996 lo define como ‘la operación mediante la cual se perfecciona el compromis</w:t>
      </w:r>
      <w:r w:rsidRPr="0025366A">
        <w:rPr>
          <w:rFonts w:ascii="Work Sans" w:eastAsia="Work Sans" w:hAnsi="Work Sans" w:cs="Work Sans"/>
        </w:rPr>
        <w:t>o y se afecta en forma definitiva la apropiación, garantizando que ésta no será desviada a ningún otro fin. En esta operación se debe indicar claramente el valor y el plazo de las prestaciones a las que haya lugar’. (...) Por su naturaleza, los recursos re</w:t>
      </w:r>
      <w:r w:rsidRPr="0025366A">
        <w:rPr>
          <w:rFonts w:ascii="Work Sans" w:eastAsia="Work Sans" w:hAnsi="Work Sans" w:cs="Work Sans"/>
        </w:rPr>
        <w:t>servados para pagar las prestaciones de un contrato, a un contratista identificado, no pueden emplearse para pagar otro contrato.”</w:t>
      </w:r>
    </w:p>
    <w:p w:rsidR="004D0A7F" w:rsidRDefault="004F0EEA" w:rsidP="00FB7248">
      <w:pPr>
        <w:spacing w:before="120" w:after="120" w:line="320" w:lineRule="exact"/>
        <w:jc w:val="both"/>
        <w:rPr>
          <w:rFonts w:ascii="Work Sans" w:eastAsia="Work Sans" w:hAnsi="Work Sans" w:cs="Work Sans"/>
        </w:rPr>
      </w:pPr>
      <w:r>
        <w:rPr>
          <w:rFonts w:ascii="Work Sans" w:eastAsia="Work Sans" w:hAnsi="Work Sans" w:cs="Work Sans"/>
        </w:rPr>
        <w:t>El 19 de junio de 2025 se suscribió el contrato de prestación de servicios profesionales No</w:t>
      </w:r>
      <w:r>
        <w:rPr>
          <w:rFonts w:ascii="Work Sans" w:eastAsia="Work Sans" w:hAnsi="Work Sans" w:cs="Work Sans"/>
          <w:b/>
          <w:bCs/>
        </w:rPr>
        <w:t>. GGC-1435-2025,</w:t>
      </w:r>
      <w:r>
        <w:rPr>
          <w:rFonts w:ascii="Work Sans" w:eastAsia="Work Sans" w:hAnsi="Work Sans" w:cs="Work Sans"/>
        </w:rPr>
        <w:t xml:space="preserve"> cuyo objeto es “A</w:t>
      </w:r>
      <w:r>
        <w:rPr>
          <w:rFonts w:ascii="Work Sans" w:eastAsia="Work Sans" w:hAnsi="Work Sans" w:cs="Work Sans"/>
        </w:rPr>
        <w:t xml:space="preserve">poyar la elaboración de estudios de proyección de oferta y demanda en la cadena de valor de hidrocarburos”. Para su celebración se contó con el Certificado de Disponibilidad Presupuestal (CDP) No. 200825, por valor de </w:t>
      </w:r>
      <w:r w:rsidRPr="00513F81">
        <w:rPr>
          <w:rFonts w:ascii="Work Sans" w:eastAsia="Work Sans" w:hAnsi="Work Sans" w:cs="Work Sans"/>
          <w:b/>
        </w:rPr>
        <w:t xml:space="preserve">TREINTA Y DOS MILLONES </w:t>
      </w:r>
      <w:r w:rsidRPr="00513F81">
        <w:rPr>
          <w:rFonts w:ascii="Work Sans" w:eastAsia="Work Sans" w:hAnsi="Work Sans" w:cs="Work Sans"/>
          <w:b/>
        </w:rPr>
        <w:lastRenderedPageBreak/>
        <w:t xml:space="preserve">QUINIENTOS MIL </w:t>
      </w:r>
      <w:r w:rsidRPr="00513F81">
        <w:rPr>
          <w:rFonts w:ascii="Work Sans" w:eastAsia="Work Sans" w:hAnsi="Work Sans" w:cs="Work Sans"/>
          <w:b/>
        </w:rPr>
        <w:t xml:space="preserve">PESOS ($32.500.000 M/CTE), </w:t>
      </w:r>
      <w:r>
        <w:rPr>
          <w:rFonts w:ascii="Work Sans" w:eastAsia="Work Sans" w:hAnsi="Work Sans" w:cs="Work Sans"/>
        </w:rPr>
        <w:t>para un plazo de seis (6) meses y quince (15) días, sin exceder el 31 de diciembre de 2025.</w:t>
      </w:r>
    </w:p>
    <w:p w:rsidR="004D0A7F" w:rsidRDefault="004F0EEA" w:rsidP="00FB7248">
      <w:pPr>
        <w:spacing w:before="120" w:after="120" w:line="320" w:lineRule="exact"/>
        <w:jc w:val="both"/>
        <w:rPr>
          <w:rFonts w:ascii="Work Sans" w:eastAsia="Work Sans" w:hAnsi="Work Sans" w:cs="Work Sans"/>
        </w:rPr>
      </w:pPr>
      <w:r>
        <w:rPr>
          <w:rFonts w:ascii="Work Sans" w:eastAsia="Work Sans" w:hAnsi="Work Sans" w:cs="Work Sans"/>
        </w:rPr>
        <w:t>En consecuencia, una vez expedido el Registro Presupuestal (RP) No. 352725, la apropiación presupuestal quedó afectada de manera exclusiv</w:t>
      </w:r>
      <w:r>
        <w:rPr>
          <w:rFonts w:ascii="Work Sans" w:eastAsia="Work Sans" w:hAnsi="Work Sans" w:cs="Work Sans"/>
        </w:rPr>
        <w:t xml:space="preserve">a al contrato No. </w:t>
      </w:r>
      <w:r>
        <w:rPr>
          <w:rFonts w:ascii="Work Sans" w:eastAsia="Work Sans" w:hAnsi="Work Sans" w:cs="Work Sans"/>
          <w:b/>
          <w:bCs/>
        </w:rPr>
        <w:t>GGC-1435-2025</w:t>
      </w:r>
      <w:r>
        <w:rPr>
          <w:rFonts w:ascii="Work Sans" w:eastAsia="Work Sans" w:hAnsi="Work Sans" w:cs="Work Sans"/>
        </w:rPr>
        <w:t>, garantizando el cumplimiento del deber de planeación y los requisitos propios del registro presupuestal, al identificar con precisión el valor comprometido, el plazo contractual y la contratista vinculada.</w:t>
      </w:r>
    </w:p>
    <w:p w:rsidR="002D2199" w:rsidRDefault="002D2199" w:rsidP="00FB7248">
      <w:pPr>
        <w:spacing w:before="120" w:after="120" w:line="320" w:lineRule="exact"/>
        <w:jc w:val="both"/>
        <w:rPr>
          <w:rFonts w:ascii="Work Sans" w:eastAsia="Work Sans" w:hAnsi="Work Sans" w:cs="Work Sans"/>
        </w:rPr>
      </w:pPr>
    </w:p>
    <w:p w:rsidR="004D0A7F" w:rsidRDefault="004F0EEA" w:rsidP="00FB7248">
      <w:pPr>
        <w:spacing w:before="120" w:after="120" w:line="320" w:lineRule="exact"/>
        <w:jc w:val="both"/>
        <w:rPr>
          <w:rFonts w:ascii="Work Sans" w:eastAsia="Work Sans" w:hAnsi="Work Sans" w:cs="Work Sans"/>
        </w:rPr>
      </w:pPr>
      <w:r>
        <w:rPr>
          <w:rFonts w:ascii="Work Sans" w:eastAsia="Work Sans" w:hAnsi="Work Sans" w:cs="Work Sans"/>
        </w:rPr>
        <w:t>Posteriormente, c</w:t>
      </w:r>
      <w:r>
        <w:rPr>
          <w:rFonts w:ascii="Work Sans" w:eastAsia="Work Sans" w:hAnsi="Work Sans" w:cs="Work Sans"/>
        </w:rPr>
        <w:t xml:space="preserve">on la publicación de la cesión contractual y la designación de la </w:t>
      </w:r>
      <w:r w:rsidR="00F6343B">
        <w:rPr>
          <w:rFonts w:ascii="Work Sans" w:eastAsia="Work Sans" w:hAnsi="Work Sans" w:cs="Work Sans"/>
        </w:rPr>
        <w:t xml:space="preserve">contratista </w:t>
      </w:r>
      <w:r w:rsidR="00F6343B">
        <w:rPr>
          <w:rFonts w:ascii="Work Sans" w:eastAsia="Work Sans" w:hAnsi="Work Sans" w:cs="Work Sans"/>
          <w:b/>
          <w:bCs/>
        </w:rPr>
        <w:t xml:space="preserve">YURI ANDREA ALARCÓN RODRÍGUEZ </w:t>
      </w:r>
      <w:r>
        <w:rPr>
          <w:rFonts w:ascii="Work Sans" w:eastAsia="Work Sans" w:hAnsi="Work Sans" w:cs="Work Sans"/>
        </w:rPr>
        <w:t xml:space="preserve">como cesionaria a partir del 14 de octubre de 2025, con cobertura </w:t>
      </w:r>
      <w:r w:rsidR="00FB7248">
        <w:rPr>
          <w:rFonts w:ascii="Work Sans" w:eastAsia="Work Sans" w:hAnsi="Work Sans" w:cs="Work Sans"/>
        </w:rPr>
        <w:t xml:space="preserve">de la ARL </w:t>
      </w:r>
      <w:r>
        <w:rPr>
          <w:rFonts w:ascii="Work Sans" w:eastAsia="Work Sans" w:hAnsi="Work Sans" w:cs="Work Sans"/>
        </w:rPr>
        <w:t xml:space="preserve">desde el 16 de octubre de la anualidad, la apropiación presupuestal continuó vinculada </w:t>
      </w:r>
      <w:r>
        <w:rPr>
          <w:rFonts w:ascii="Work Sans" w:eastAsia="Work Sans" w:hAnsi="Work Sans" w:cs="Work Sans"/>
        </w:rPr>
        <w:t xml:space="preserve">al contrato No. </w:t>
      </w:r>
      <w:r>
        <w:rPr>
          <w:rFonts w:ascii="Work Sans" w:eastAsia="Work Sans" w:hAnsi="Work Sans" w:cs="Work Sans"/>
          <w:b/>
          <w:bCs/>
        </w:rPr>
        <w:t>GGC-1435-2025</w:t>
      </w:r>
      <w:r>
        <w:rPr>
          <w:rFonts w:ascii="Work Sans" w:eastAsia="Work Sans" w:hAnsi="Work Sans" w:cs="Work Sans"/>
        </w:rPr>
        <w:t>, por cuanto la única variación introducida fue el cambio de contratista, modificación plenamente respaldada por el RP No. 352725 y que no afecta los elementos esenciales del compromiso presupuestal.</w:t>
      </w:r>
    </w:p>
    <w:p w:rsidR="002D2199" w:rsidRDefault="002D2199" w:rsidP="00FB7248">
      <w:pPr>
        <w:spacing w:before="120" w:after="120" w:line="320" w:lineRule="exact"/>
        <w:jc w:val="both"/>
        <w:rPr>
          <w:rFonts w:ascii="Work Sans" w:eastAsia="Work Sans" w:hAnsi="Work Sans" w:cs="Work Sans"/>
        </w:rPr>
      </w:pPr>
    </w:p>
    <w:p w:rsidR="004D0A7F" w:rsidRDefault="004F0EEA" w:rsidP="00FB7248">
      <w:pPr>
        <w:spacing w:before="120" w:after="120" w:line="320" w:lineRule="exact"/>
        <w:jc w:val="both"/>
        <w:rPr>
          <w:rFonts w:ascii="Work Sans" w:eastAsia="Work Sans" w:hAnsi="Work Sans" w:cs="Work Sans"/>
        </w:rPr>
      </w:pPr>
      <w:r>
        <w:rPr>
          <w:rFonts w:ascii="Work Sans" w:eastAsia="Work Sans" w:hAnsi="Work Sans" w:cs="Work Sans"/>
        </w:rPr>
        <w:t>Es importante resaltar que dicha cesión no altera el plazo contractual ni las obligaciones presupuestales previamente establecidas, las cuales permanecen asociadas al contrato original y al registro presupuestal que respalda su ejecución.</w:t>
      </w:r>
    </w:p>
    <w:p w:rsidR="002D2199" w:rsidRDefault="002D2199" w:rsidP="00FB7248">
      <w:pPr>
        <w:spacing w:before="120" w:after="120" w:line="320" w:lineRule="exact"/>
        <w:jc w:val="both"/>
        <w:rPr>
          <w:rFonts w:ascii="Work Sans" w:eastAsia="Work Sans" w:hAnsi="Work Sans" w:cs="Work Sans"/>
        </w:rPr>
      </w:pPr>
    </w:p>
    <w:p w:rsidR="004D0A7F" w:rsidRDefault="004F0EEA" w:rsidP="00FB7248">
      <w:pPr>
        <w:spacing w:before="120" w:after="120" w:line="320" w:lineRule="exact"/>
        <w:jc w:val="both"/>
        <w:rPr>
          <w:rFonts w:ascii="Work Sans" w:eastAsia="Work Sans" w:hAnsi="Work Sans" w:cs="Work Sans"/>
        </w:rPr>
      </w:pPr>
      <w:r>
        <w:rPr>
          <w:rFonts w:ascii="Work Sans" w:eastAsia="Work Sans" w:hAnsi="Work Sans" w:cs="Work Sans"/>
        </w:rPr>
        <w:t>En ese sentido, l</w:t>
      </w:r>
      <w:r>
        <w:rPr>
          <w:rFonts w:ascii="Work Sans" w:eastAsia="Work Sans" w:hAnsi="Work Sans" w:cs="Work Sans"/>
        </w:rPr>
        <w:t xml:space="preserve">a expedición tardía del Registro Presupuestal, originada en un error involuntario, no genera la necesidad de nuevas apropiaciones, dado que la apropiación inicial ya se encontraba comprometida y vinculada al contrato </w:t>
      </w:r>
      <w:r>
        <w:rPr>
          <w:rFonts w:ascii="Work Sans" w:eastAsia="Work Sans" w:hAnsi="Work Sans" w:cs="Work Sans"/>
          <w:b/>
          <w:bCs/>
        </w:rPr>
        <w:t>No. GGC-1435-2025</w:t>
      </w:r>
      <w:r>
        <w:rPr>
          <w:rFonts w:ascii="Work Sans" w:eastAsia="Work Sans" w:hAnsi="Work Sans" w:cs="Work Sans"/>
        </w:rPr>
        <w:t xml:space="preserve"> en cumplimiento del d</w:t>
      </w:r>
      <w:r>
        <w:rPr>
          <w:rFonts w:ascii="Work Sans" w:eastAsia="Work Sans" w:hAnsi="Work Sans" w:cs="Work Sans"/>
        </w:rPr>
        <w:t>eber de planeación.</w:t>
      </w:r>
    </w:p>
    <w:p w:rsidR="002D2199" w:rsidRDefault="002D2199" w:rsidP="00FB7248">
      <w:pPr>
        <w:spacing w:before="120" w:after="120" w:line="320" w:lineRule="exact"/>
        <w:jc w:val="both"/>
        <w:rPr>
          <w:rFonts w:ascii="Work Sans" w:eastAsia="Work Sans" w:hAnsi="Work Sans" w:cs="Work Sans"/>
        </w:rPr>
      </w:pPr>
    </w:p>
    <w:p w:rsidR="004D0A7F" w:rsidRDefault="004F0EEA" w:rsidP="00FB7248">
      <w:pPr>
        <w:spacing w:before="120" w:after="120" w:line="320" w:lineRule="exact"/>
        <w:jc w:val="both"/>
        <w:rPr>
          <w:rFonts w:ascii="Work Sans" w:eastAsia="Work Sans" w:hAnsi="Work Sans" w:cs="Work Sans"/>
        </w:rPr>
      </w:pPr>
      <w:r>
        <w:rPr>
          <w:rFonts w:ascii="Work Sans" w:eastAsia="Work Sans" w:hAnsi="Work Sans" w:cs="Work Sans"/>
        </w:rPr>
        <w:t xml:space="preserve">Por lo anterior, el saneamiento administrativo resulta procedente, en tanto el vicio identificado corresponde exclusivamente a un defecto formal, sin incidencia en la validez del compromiso ni en la ejecución presupuestal del contrato. </w:t>
      </w:r>
      <w:r>
        <w:rPr>
          <w:rFonts w:ascii="Work Sans" w:eastAsia="Work Sans" w:hAnsi="Work Sans" w:cs="Work Sans"/>
        </w:rPr>
        <w:t xml:space="preserve">La cesión no implicó modificaciones en el valor, el plazo ni las obligaciones derivadas del compromiso presupuestal, motivo por el cual la apropiación comprometida se mantiene vigente y suficiente. En consecuencia, el saneamiento constituye la </w:t>
      </w:r>
      <w:r>
        <w:rPr>
          <w:rFonts w:ascii="Work Sans" w:eastAsia="Work Sans" w:hAnsi="Work Sans" w:cs="Work Sans"/>
        </w:rPr>
        <w:lastRenderedPageBreak/>
        <w:t>medida adecu</w:t>
      </w:r>
      <w:r>
        <w:rPr>
          <w:rFonts w:ascii="Work Sans" w:eastAsia="Work Sans" w:hAnsi="Work Sans" w:cs="Work Sans"/>
        </w:rPr>
        <w:t>ada para corregir el error involuntario, garantizar la continuidad del contrato y salvaguardar los principios de eficacia, eficiencia y correcta ejecución de los recursos públicos</w:t>
      </w:r>
      <w:r w:rsidR="00FB7248">
        <w:rPr>
          <w:rFonts w:ascii="Work Sans" w:eastAsia="Work Sans" w:hAnsi="Work Sans" w:cs="Work Sans"/>
        </w:rPr>
        <w:t>.</w:t>
      </w:r>
    </w:p>
    <w:p w:rsidR="000C2827" w:rsidRDefault="000C2827">
      <w:pPr>
        <w:pBdr>
          <w:top w:val="nil"/>
          <w:left w:val="nil"/>
          <w:bottom w:val="nil"/>
          <w:right w:val="nil"/>
          <w:between w:val="nil"/>
        </w:pBdr>
        <w:jc w:val="both"/>
        <w:rPr>
          <w:rFonts w:ascii="Work Sans" w:eastAsia="Work Sans" w:hAnsi="Work Sans" w:cs="Work Sans"/>
        </w:rPr>
      </w:pPr>
    </w:p>
    <w:p w:rsidR="000C2827" w:rsidRDefault="000C2827">
      <w:pPr>
        <w:pBdr>
          <w:top w:val="nil"/>
          <w:left w:val="nil"/>
          <w:bottom w:val="nil"/>
          <w:right w:val="nil"/>
          <w:between w:val="nil"/>
        </w:pBdr>
        <w:jc w:val="both"/>
        <w:rPr>
          <w:rFonts w:ascii="Work Sans" w:eastAsia="Work Sans" w:hAnsi="Work Sans" w:cs="Work Sans"/>
        </w:rPr>
      </w:pPr>
    </w:p>
    <w:p w:rsidR="004D0A7F" w:rsidRPr="000C2827" w:rsidRDefault="004F0EEA" w:rsidP="000C2827">
      <w:pPr>
        <w:numPr>
          <w:ilvl w:val="1"/>
          <w:numId w:val="1"/>
        </w:numPr>
        <w:pBdr>
          <w:top w:val="nil"/>
          <w:left w:val="nil"/>
          <w:bottom w:val="nil"/>
          <w:right w:val="nil"/>
          <w:between w:val="nil"/>
        </w:pBdr>
        <w:jc w:val="both"/>
        <w:rPr>
          <w:rFonts w:ascii="Work Sans" w:eastAsia="Work Sans" w:hAnsi="Work Sans" w:cs="Work Sans"/>
          <w:b/>
          <w:bCs/>
          <w:color w:val="000000"/>
        </w:rPr>
      </w:pPr>
      <w:r w:rsidRPr="000C2827">
        <w:rPr>
          <w:rFonts w:ascii="Work Sans" w:eastAsia="Work Sans" w:hAnsi="Work Sans" w:cs="Work Sans"/>
          <w:b/>
          <w:bCs/>
          <w:color w:val="000000"/>
        </w:rPr>
        <w:t>Buena fe objetiva</w:t>
      </w:r>
    </w:p>
    <w:p w:rsidR="004D0A7F" w:rsidRPr="000C2827" w:rsidRDefault="004D0A7F" w:rsidP="000C2827">
      <w:pPr>
        <w:pBdr>
          <w:top w:val="nil"/>
          <w:left w:val="nil"/>
          <w:bottom w:val="nil"/>
          <w:right w:val="nil"/>
          <w:between w:val="nil"/>
        </w:pBdr>
        <w:ind w:left="720"/>
        <w:jc w:val="both"/>
        <w:rPr>
          <w:rFonts w:ascii="Work Sans" w:eastAsia="Work Sans" w:hAnsi="Work Sans" w:cs="Work Sans"/>
          <w:b/>
          <w:bCs/>
          <w:color w:val="000000"/>
        </w:rPr>
      </w:pPr>
    </w:p>
    <w:p w:rsidR="004D0A7F" w:rsidRPr="00FB7248" w:rsidRDefault="004F0EEA" w:rsidP="00FF6CCC">
      <w:pPr>
        <w:spacing w:before="120" w:after="120" w:line="320" w:lineRule="exact"/>
        <w:jc w:val="both"/>
        <w:rPr>
          <w:rFonts w:ascii="Work Sans" w:eastAsia="Work Sans" w:hAnsi="Work Sans" w:cs="Work Sans"/>
        </w:rPr>
      </w:pPr>
      <w:r w:rsidRPr="00FB7248">
        <w:rPr>
          <w:rFonts w:ascii="Work Sans" w:eastAsia="Work Sans" w:hAnsi="Work Sans" w:cs="Work Sans"/>
        </w:rPr>
        <w:t>El artículo 83 de la Constitución</w:t>
      </w:r>
      <w:r w:rsidRPr="00FB7248">
        <w:rPr>
          <w:rFonts w:ascii="Work Sans" w:eastAsia="Work Sans" w:hAnsi="Work Sans" w:cs="Work Sans"/>
        </w:rPr>
        <w:t xml:space="preserve"> </w:t>
      </w:r>
      <w:r w:rsidRPr="00FB7248">
        <w:rPr>
          <w:rFonts w:ascii="Work Sans" w:eastAsia="Work Sans" w:hAnsi="Work Sans" w:cs="Work Sans"/>
        </w:rPr>
        <w:t>Política dispone:</w:t>
      </w:r>
    </w:p>
    <w:p w:rsidR="004D0A7F" w:rsidRPr="00FB7248" w:rsidRDefault="004F0EEA" w:rsidP="00FF6CCC">
      <w:pPr>
        <w:spacing w:before="120" w:after="120" w:line="320" w:lineRule="exact"/>
        <w:ind w:left="426" w:right="332"/>
        <w:jc w:val="both"/>
        <w:rPr>
          <w:rFonts w:ascii="Work Sans" w:eastAsia="Work Sans" w:hAnsi="Work Sans" w:cs="Work Sans"/>
        </w:rPr>
      </w:pPr>
      <w:r w:rsidRPr="00FB7248">
        <w:rPr>
          <w:rFonts w:ascii="Work Sans" w:eastAsia="Work Sans" w:hAnsi="Work Sans" w:cs="Work Sans"/>
        </w:rPr>
        <w:t>“Las actuaciones de los particulares y de las autoridades públicas deberán ceñirse a los postulados de la buena fe, la cual se presumirá en todas las gestiones que aquellos adelanten ante éstas.”</w:t>
      </w:r>
    </w:p>
    <w:p w:rsidR="004D0A7F" w:rsidRPr="00FB7248" w:rsidRDefault="004F0EEA" w:rsidP="00FF6CCC">
      <w:pPr>
        <w:spacing w:before="120" w:after="120" w:line="320" w:lineRule="exact"/>
        <w:jc w:val="both"/>
        <w:rPr>
          <w:rFonts w:ascii="Work Sans" w:eastAsia="Work Sans" w:hAnsi="Work Sans" w:cs="Work Sans"/>
        </w:rPr>
      </w:pPr>
      <w:r w:rsidRPr="00FB7248">
        <w:rPr>
          <w:rFonts w:ascii="Work Sans" w:eastAsia="Work Sans" w:hAnsi="Work Sans" w:cs="Work Sans"/>
        </w:rPr>
        <w:t>La buena fe objetiva ha recibido un desarrollo amplio y reit</w:t>
      </w:r>
      <w:r w:rsidRPr="00FB7248">
        <w:rPr>
          <w:rFonts w:ascii="Work Sans" w:eastAsia="Work Sans" w:hAnsi="Work Sans" w:cs="Work Sans"/>
        </w:rPr>
        <w:t>erado por parte del Consejo de Estado, especialmente en la Sección Tercera, donde se ha precisado que este principio constituye un estándar de conducta exigible a las partes durante toda la vida del contrato estatal.</w:t>
      </w:r>
    </w:p>
    <w:p w:rsidR="004D0A7F" w:rsidRPr="00FB7248" w:rsidRDefault="004F0EEA" w:rsidP="00FF6CCC">
      <w:pPr>
        <w:spacing w:before="120" w:after="120" w:line="320" w:lineRule="exact"/>
        <w:jc w:val="both"/>
        <w:rPr>
          <w:rFonts w:ascii="Work Sans" w:eastAsia="Work Sans" w:hAnsi="Work Sans" w:cs="Work Sans"/>
        </w:rPr>
      </w:pPr>
      <w:r w:rsidRPr="00FB7248">
        <w:rPr>
          <w:rFonts w:ascii="Work Sans" w:eastAsia="Work Sans" w:hAnsi="Work Sans" w:cs="Work Sans"/>
        </w:rPr>
        <w:t>En ese sentido, la Sección Tercera, Sub</w:t>
      </w:r>
      <w:r w:rsidRPr="00FB7248">
        <w:rPr>
          <w:rFonts w:ascii="Work Sans" w:eastAsia="Work Sans" w:hAnsi="Work Sans" w:cs="Work Sans"/>
        </w:rPr>
        <w:t>sección B, Exp. 11001-03-26-000-2010-00062-00 (39495) ha sostenido que la buena fe objetiva:</w:t>
      </w:r>
    </w:p>
    <w:p w:rsidR="004D0A7F" w:rsidRPr="00FB7248" w:rsidRDefault="004F0EEA" w:rsidP="00FF6CCC">
      <w:pPr>
        <w:spacing w:before="120" w:after="120" w:line="320" w:lineRule="exact"/>
        <w:ind w:left="426" w:right="332"/>
        <w:jc w:val="both"/>
        <w:rPr>
          <w:rFonts w:ascii="Work Sans" w:eastAsia="Work Sans" w:hAnsi="Work Sans" w:cs="Work Sans"/>
        </w:rPr>
      </w:pPr>
      <w:r w:rsidRPr="00FB7248">
        <w:rPr>
          <w:rFonts w:ascii="Work Sans" w:eastAsia="Work Sans" w:hAnsi="Work Sans" w:cs="Work Sans"/>
        </w:rPr>
        <w:t>“consiste fundamentalmente en respetar en su esencia lo pactado, en cumplir las obligaciones derivadas del acuerdo, en perseverar en la ejecución de lo convenido, en observar cabalmente el deber de informar a la otra parte y, en fin, en desplegar un compor</w:t>
      </w:r>
      <w:r w:rsidRPr="00FB7248">
        <w:rPr>
          <w:rFonts w:ascii="Work Sans" w:eastAsia="Work Sans" w:hAnsi="Work Sans" w:cs="Work Sans"/>
        </w:rPr>
        <w:t>tamiento que convenga a la realización y ejecución del contrato, sin olvidar que el interés del otro contratante también debe cumplirse y cuya satisfacción depende en buena medida de la lealtad y corrección de la conducta propia”</w:t>
      </w:r>
      <w:r w:rsidRPr="00FB7248">
        <w:rPr>
          <w:rFonts w:ascii="Work Sans" w:eastAsia="Work Sans" w:hAnsi="Work Sans" w:cs="Work Sans"/>
        </w:rPr>
        <w:footnoteReference w:id="3"/>
      </w:r>
      <w:r w:rsidRPr="00FB7248">
        <w:rPr>
          <w:rFonts w:ascii="Work Sans" w:eastAsia="Work Sans" w:hAnsi="Work Sans" w:cs="Work Sans"/>
        </w:rPr>
        <w:br/>
      </w:r>
    </w:p>
    <w:p w:rsidR="004D0A7F" w:rsidRPr="00FB7248" w:rsidRDefault="004F0EEA" w:rsidP="00FF6CCC">
      <w:pPr>
        <w:spacing w:before="120" w:after="120" w:line="320" w:lineRule="exact"/>
        <w:jc w:val="both"/>
        <w:rPr>
          <w:rFonts w:ascii="Work Sans" w:eastAsia="Work Sans" w:hAnsi="Work Sans" w:cs="Work Sans"/>
        </w:rPr>
      </w:pPr>
      <w:r w:rsidRPr="00FB7248">
        <w:rPr>
          <w:rFonts w:ascii="Work Sans" w:eastAsia="Work Sans" w:hAnsi="Work Sans" w:cs="Work Sans"/>
        </w:rPr>
        <w:t xml:space="preserve">A su vez, la </w:t>
      </w:r>
      <w:r w:rsidRPr="00FB7248">
        <w:rPr>
          <w:rFonts w:ascii="Work Sans" w:eastAsia="Work Sans" w:hAnsi="Work Sans" w:cs="Work Sans"/>
        </w:rPr>
        <w:t>Sentencia de Unificación del 28 de agosto de 2013</w:t>
      </w:r>
      <w:r w:rsidRPr="00FB7248">
        <w:rPr>
          <w:rFonts w:ascii="Work Sans" w:eastAsia="Work Sans" w:hAnsi="Work Sans" w:cs="Work Sans"/>
        </w:rPr>
        <w:t xml:space="preserve"> (Exp. 73001-23-31-000-2000-03075-01) reiteró que en materia contractual:</w:t>
      </w:r>
    </w:p>
    <w:p w:rsidR="004D0A7F" w:rsidRPr="00FB7248" w:rsidRDefault="004F0EEA" w:rsidP="00FF6CCC">
      <w:pPr>
        <w:spacing w:before="120" w:after="120" w:line="320" w:lineRule="exact"/>
        <w:ind w:left="567" w:right="191"/>
        <w:jc w:val="both"/>
        <w:rPr>
          <w:rFonts w:ascii="Work Sans" w:eastAsia="Work Sans" w:hAnsi="Work Sans" w:cs="Work Sans"/>
        </w:rPr>
      </w:pPr>
      <w:r>
        <w:rPr>
          <w:rFonts w:ascii="Arial" w:eastAsia="Arial" w:hAnsi="Arial" w:cs="Arial"/>
        </w:rPr>
        <w:t>“</w:t>
      </w:r>
      <w:r w:rsidRPr="00FB7248">
        <w:rPr>
          <w:rFonts w:ascii="Work Sans" w:eastAsia="Work Sans" w:hAnsi="Work Sans" w:cs="Work Sans"/>
        </w:rPr>
        <w:t xml:space="preserve">la buena fe relevante es la </w:t>
      </w:r>
      <w:r w:rsidRPr="00FB7248">
        <w:rPr>
          <w:rFonts w:ascii="Work Sans" w:eastAsia="Work Sans" w:hAnsi="Work Sans" w:cs="Work Sans"/>
        </w:rPr>
        <w:t>buena fe objetiva</w:t>
      </w:r>
      <w:r w:rsidRPr="00FB7248">
        <w:rPr>
          <w:rFonts w:ascii="Work Sans" w:eastAsia="Work Sans" w:hAnsi="Work Sans" w:cs="Work Sans"/>
        </w:rPr>
        <w:t>, pues en sede negocial no interesa la convicción interna de las partes sobre la licitu</w:t>
      </w:r>
      <w:r w:rsidRPr="00FB7248">
        <w:rPr>
          <w:rFonts w:ascii="Work Sans" w:eastAsia="Work Sans" w:hAnsi="Work Sans" w:cs="Work Sans"/>
        </w:rPr>
        <w:t xml:space="preserve">d de su conducta buena fe subjetiva, sino el comportamiento real y verificable que demuestre diligencia, lealtad, corrección y la </w:t>
      </w:r>
      <w:r w:rsidRPr="00FB7248">
        <w:rPr>
          <w:rFonts w:ascii="Work Sans" w:eastAsia="Work Sans" w:hAnsi="Work Sans" w:cs="Work Sans"/>
        </w:rPr>
        <w:lastRenderedPageBreak/>
        <w:t>efectiva disposición a cumplir y ejecutar el contrato conforme a lo pactado y a las solemnidades exigidas por la ley.”</w:t>
      </w:r>
    </w:p>
    <w:p w:rsidR="004D0A7F" w:rsidRDefault="004F0EEA" w:rsidP="00FF6CCC">
      <w:pPr>
        <w:spacing w:before="120" w:after="120" w:line="320" w:lineRule="exact"/>
        <w:jc w:val="both"/>
        <w:rPr>
          <w:rFonts w:ascii="Work Sans" w:eastAsia="Work Sans" w:hAnsi="Work Sans" w:cs="Work Sans"/>
        </w:rPr>
      </w:pPr>
      <w:r>
        <w:rPr>
          <w:rFonts w:ascii="Work Sans" w:eastAsia="Work Sans" w:hAnsi="Work Sans" w:cs="Work Sans"/>
        </w:rPr>
        <w:t>Bajo es</w:t>
      </w:r>
      <w:r>
        <w:rPr>
          <w:rFonts w:ascii="Work Sans" w:eastAsia="Work Sans" w:hAnsi="Work Sans" w:cs="Work Sans"/>
        </w:rPr>
        <w:t>te marco jurisprudencial, la valoración de las actuaciones debe hacerse atendiendo al comportamiento desplegado por las partes y a la diligencia demostrada para asegurar la ejecución del contrato. Así, cuando la entidad identifica una inconsistencia como l</w:t>
      </w:r>
      <w:r>
        <w:rPr>
          <w:rFonts w:ascii="Work Sans" w:eastAsia="Work Sans" w:hAnsi="Work Sans" w:cs="Work Sans"/>
        </w:rPr>
        <w:t xml:space="preserve">a tardía expedición del Registro Presupuestal (RP) y adelanta de manera inmediata las gestiones necesarias para corregirla, se evidencia el cumplimiento del estándar de buena fe objetiva. </w:t>
      </w:r>
    </w:p>
    <w:p w:rsidR="002D2199" w:rsidRDefault="002D2199" w:rsidP="00FF6CCC">
      <w:pPr>
        <w:spacing w:before="120" w:after="120" w:line="320" w:lineRule="exact"/>
        <w:jc w:val="both"/>
        <w:rPr>
          <w:rFonts w:ascii="Work Sans" w:eastAsia="Work Sans" w:hAnsi="Work Sans" w:cs="Work Sans"/>
        </w:rPr>
      </w:pPr>
    </w:p>
    <w:p w:rsidR="004D0A7F" w:rsidRDefault="004F0EEA" w:rsidP="00FF6CCC">
      <w:pPr>
        <w:spacing w:before="120" w:after="120" w:line="320" w:lineRule="exact"/>
        <w:jc w:val="both"/>
        <w:rPr>
          <w:rFonts w:ascii="Work Sans" w:eastAsia="Work Sans" w:hAnsi="Work Sans" w:cs="Work Sans"/>
        </w:rPr>
      </w:pPr>
      <w:r>
        <w:rPr>
          <w:rFonts w:ascii="Work Sans" w:eastAsia="Work Sans" w:hAnsi="Work Sans" w:cs="Work Sans"/>
        </w:rPr>
        <w:t>En este caso, la entidad realizó las gestiones necesarias para obte</w:t>
      </w:r>
      <w:r>
        <w:rPr>
          <w:rFonts w:ascii="Work Sans" w:eastAsia="Work Sans" w:hAnsi="Work Sans" w:cs="Work Sans"/>
        </w:rPr>
        <w:t>ner el Registro Presupuestal (RP) una vez identificado el error involuntario, lo que evidencia la intención institucional de corregir oportunamente la situación y garantizar la adecuada ejecución del contrato. En esa medida, resulta procedente reconocer el</w:t>
      </w:r>
      <w:r>
        <w:rPr>
          <w:rFonts w:ascii="Work Sans" w:eastAsia="Work Sans" w:hAnsi="Work Sans" w:cs="Work Sans"/>
        </w:rPr>
        <w:t xml:space="preserve"> pago total a la </w:t>
      </w:r>
      <w:r w:rsidRPr="008B4663">
        <w:rPr>
          <w:rFonts w:ascii="Work Sans" w:eastAsia="Work Sans" w:hAnsi="Work Sans" w:cs="Work Sans"/>
        </w:rPr>
        <w:t>contratista</w:t>
      </w:r>
      <w:r w:rsidR="008B4663" w:rsidRPr="008B4663">
        <w:rPr>
          <w:rFonts w:ascii="Work Sans" w:eastAsia="Work Sans" w:hAnsi="Work Sans" w:cs="Work Sans"/>
        </w:rPr>
        <w:t xml:space="preserve"> </w:t>
      </w:r>
      <w:r w:rsidR="008B4663" w:rsidRPr="008B4663">
        <w:rPr>
          <w:rFonts w:ascii="Work Sans" w:eastAsia="Work Sans" w:hAnsi="Work Sans" w:cs="Work Sans"/>
          <w:b/>
        </w:rPr>
        <w:t>YURI</w:t>
      </w:r>
      <w:r w:rsidR="008B4663" w:rsidRPr="008B4663">
        <w:rPr>
          <w:rFonts w:ascii="Work Sans" w:eastAsia="Work Sans" w:hAnsi="Work Sans" w:cs="Work Sans"/>
          <w:b/>
          <w:bCs/>
        </w:rPr>
        <w:t xml:space="preserve"> </w:t>
      </w:r>
      <w:r w:rsidR="008B4663">
        <w:rPr>
          <w:rFonts w:ascii="Work Sans" w:eastAsia="Work Sans" w:hAnsi="Work Sans" w:cs="Work Sans"/>
          <w:b/>
          <w:bCs/>
        </w:rPr>
        <w:t>ANDREA ALARCÓN RODRÍGUEZ</w:t>
      </w:r>
      <w:r>
        <w:rPr>
          <w:rFonts w:ascii="Work Sans" w:eastAsia="Work Sans" w:hAnsi="Work Sans" w:cs="Work Sans"/>
        </w:rPr>
        <w:t>, puesto que la actuación no se enmarca en un incumplimiento doloso por parte del Ministerio de Minas y Energía, sino en un error susceptible de ser saneado conforme al principio de buena fe objetiva y al carácter no esencial de</w:t>
      </w:r>
      <w:r>
        <w:rPr>
          <w:rFonts w:ascii="Work Sans" w:eastAsia="Work Sans" w:hAnsi="Work Sans" w:cs="Work Sans"/>
        </w:rPr>
        <w:t>l Registro Presupuestal dentro de la formación del vínculo contractual.</w:t>
      </w:r>
    </w:p>
    <w:p w:rsidR="002D2199" w:rsidRDefault="002D2199" w:rsidP="00FF6CCC">
      <w:pPr>
        <w:spacing w:before="120" w:after="120" w:line="320" w:lineRule="exact"/>
        <w:jc w:val="both"/>
        <w:rPr>
          <w:rFonts w:ascii="Work Sans" w:eastAsia="Work Sans" w:hAnsi="Work Sans" w:cs="Work Sans"/>
        </w:rPr>
      </w:pPr>
    </w:p>
    <w:p w:rsidR="004D0A7F" w:rsidRPr="002D2199" w:rsidRDefault="004F0EEA" w:rsidP="00FF6CCC">
      <w:pPr>
        <w:spacing w:before="120" w:after="120" w:line="320" w:lineRule="exact"/>
        <w:jc w:val="both"/>
        <w:rPr>
          <w:rFonts w:ascii="Work Sans" w:eastAsia="Work Sans" w:hAnsi="Work Sans" w:cs="Work Sans"/>
          <w:b/>
        </w:rPr>
      </w:pPr>
      <w:r>
        <w:rPr>
          <w:rFonts w:ascii="Work Sans" w:eastAsia="Work Sans" w:hAnsi="Work Sans" w:cs="Work Sans"/>
        </w:rPr>
        <w:t>En consecuencia, y teniendo en cuenta que la buena fe objetiva exige adoptar las medidas necesarias para evitar afectaciones injustificadas a las partes, es procedente el saneamiento m</w:t>
      </w:r>
      <w:r>
        <w:rPr>
          <w:rFonts w:ascii="Work Sans" w:eastAsia="Work Sans" w:hAnsi="Work Sans" w:cs="Work Sans"/>
        </w:rPr>
        <w:t xml:space="preserve">ediante acto administrativo </w:t>
      </w:r>
      <w:r>
        <w:rPr>
          <w:rFonts w:ascii="Work Sans" w:eastAsia="Work Sans" w:hAnsi="Work Sans" w:cs="Work Sans"/>
        </w:rPr>
        <w:t xml:space="preserve">que permita efectuar el pago de los días en que la contratista ejecutó las actividades propias del contrato de prestación de servicios. Lo anterior se fundamenta en que dichas labores se realizaron en el marco de </w:t>
      </w:r>
      <w:r>
        <w:rPr>
          <w:rFonts w:ascii="Work Sans" w:eastAsia="Work Sans" w:hAnsi="Work Sans" w:cs="Work Sans"/>
        </w:rPr>
        <w:t>un vínculo contractual plenamente válido, respaldado por una apropiación presupuestal cierta, existente y previamente comprometida, lo cual habilita la corrección administrativa.</w:t>
      </w:r>
    </w:p>
    <w:p w:rsidR="002D2199" w:rsidRPr="002D2199" w:rsidRDefault="002D2199" w:rsidP="00FF6CCC">
      <w:pPr>
        <w:spacing w:before="120" w:after="120" w:line="320" w:lineRule="exact"/>
        <w:jc w:val="both"/>
        <w:rPr>
          <w:rFonts w:ascii="Work Sans" w:eastAsia="Work Sans" w:hAnsi="Work Sans" w:cs="Work Sans"/>
          <w:b/>
        </w:rPr>
      </w:pPr>
    </w:p>
    <w:p w:rsidR="004D0A7F" w:rsidRPr="002D2199" w:rsidRDefault="004F0EEA" w:rsidP="00FF6CCC">
      <w:pPr>
        <w:pStyle w:val="Prrafodelista"/>
        <w:numPr>
          <w:ilvl w:val="1"/>
          <w:numId w:val="1"/>
        </w:numPr>
        <w:pBdr>
          <w:top w:val="nil"/>
          <w:left w:val="nil"/>
          <w:bottom w:val="nil"/>
          <w:right w:val="nil"/>
          <w:between w:val="nil"/>
        </w:pBdr>
        <w:spacing w:before="120" w:after="120" w:line="320" w:lineRule="exact"/>
        <w:contextualSpacing w:val="0"/>
        <w:jc w:val="both"/>
        <w:rPr>
          <w:rFonts w:ascii="Work Sans" w:eastAsia="Work Sans" w:hAnsi="Work Sans" w:cs="Work Sans"/>
          <w:b/>
        </w:rPr>
      </w:pPr>
      <w:r w:rsidRPr="002D2199">
        <w:rPr>
          <w:rFonts w:ascii="Work Sans" w:eastAsia="Work Sans" w:hAnsi="Work Sans" w:cs="Work Sans"/>
          <w:b/>
        </w:rPr>
        <w:t xml:space="preserve">Procedencia del  Acto Administrativo de Saneamiento </w:t>
      </w:r>
    </w:p>
    <w:p w:rsidR="004D0A7F" w:rsidRDefault="004D0A7F" w:rsidP="00FF6CCC">
      <w:pPr>
        <w:pBdr>
          <w:top w:val="nil"/>
          <w:left w:val="nil"/>
          <w:bottom w:val="nil"/>
          <w:right w:val="nil"/>
          <w:between w:val="nil"/>
        </w:pBdr>
        <w:spacing w:before="120" w:after="120" w:line="320" w:lineRule="exact"/>
        <w:jc w:val="both"/>
        <w:rPr>
          <w:rFonts w:ascii="Arial" w:eastAsia="Arial" w:hAnsi="Arial" w:cs="Arial"/>
        </w:rPr>
      </w:pPr>
    </w:p>
    <w:p w:rsidR="004D0A7F" w:rsidRDefault="004F0EEA" w:rsidP="00FF6CCC">
      <w:pPr>
        <w:spacing w:before="120" w:after="120" w:line="320" w:lineRule="exact"/>
        <w:jc w:val="both"/>
        <w:rPr>
          <w:rFonts w:ascii="Work Sans" w:eastAsia="Work Sans" w:hAnsi="Work Sans" w:cs="Work Sans"/>
        </w:rPr>
      </w:pPr>
      <w:r>
        <w:rPr>
          <w:rFonts w:ascii="Work Sans" w:eastAsia="Work Sans" w:hAnsi="Work Sans" w:cs="Work Sans"/>
        </w:rPr>
        <w:lastRenderedPageBreak/>
        <w:t xml:space="preserve">En el contrato </w:t>
      </w:r>
      <w:r w:rsidRPr="006E0DED">
        <w:rPr>
          <w:rFonts w:ascii="Work Sans" w:eastAsia="Work Sans" w:hAnsi="Work Sans" w:cs="Work Sans"/>
          <w:b/>
        </w:rPr>
        <w:t>No</w:t>
      </w:r>
      <w:r w:rsidRPr="006E0DED">
        <w:rPr>
          <w:rFonts w:ascii="Work Sans" w:eastAsia="Work Sans" w:hAnsi="Work Sans" w:cs="Work Sans"/>
          <w:b/>
        </w:rPr>
        <w:t>. GGC-</w:t>
      </w:r>
      <w:r w:rsidRPr="006E0DED">
        <w:rPr>
          <w:rFonts w:ascii="Work Sans" w:eastAsia="Work Sans" w:hAnsi="Work Sans" w:cs="Work Sans"/>
          <w:b/>
        </w:rPr>
        <w:t>1435-2025</w:t>
      </w:r>
      <w:r>
        <w:rPr>
          <w:rFonts w:ascii="Work Sans" w:eastAsia="Work Sans" w:hAnsi="Work Sans" w:cs="Work Sans"/>
        </w:rPr>
        <w:t xml:space="preserve"> no se configura ninguna de las causales de nulidad absoluta previstas en los artículos 44 y 45 de la Ley 80 de 1993.</w:t>
      </w:r>
    </w:p>
    <w:p w:rsidR="008424CE" w:rsidRDefault="004F0EEA" w:rsidP="00FF6CCC">
      <w:pPr>
        <w:spacing w:before="120" w:after="120" w:line="320" w:lineRule="exact"/>
        <w:ind w:left="426" w:right="332"/>
        <w:jc w:val="both"/>
        <w:rPr>
          <w:rFonts w:ascii="Work Sans" w:eastAsia="Work Sans" w:hAnsi="Work Sans" w:cs="Work Sans"/>
        </w:rPr>
      </w:pPr>
      <w:r>
        <w:rPr>
          <w:rFonts w:ascii="Work Sans" w:eastAsia="Work Sans" w:hAnsi="Work Sans" w:cs="Work Sans"/>
        </w:rPr>
        <w:t xml:space="preserve">El artículo 44 ibídem establece las </w:t>
      </w:r>
      <w:r w:rsidR="00E9503F">
        <w:rPr>
          <w:rFonts w:ascii="Work Sans" w:eastAsia="Work Sans" w:hAnsi="Work Sans" w:cs="Work Sans"/>
        </w:rPr>
        <w:t>eventos</w:t>
      </w:r>
      <w:r>
        <w:rPr>
          <w:rFonts w:ascii="Work Sans" w:eastAsia="Work Sans" w:hAnsi="Work Sans" w:cs="Work Sans"/>
        </w:rPr>
        <w:t xml:space="preserve"> en l</w:t>
      </w:r>
      <w:r w:rsidR="00E9503F">
        <w:rPr>
          <w:rFonts w:ascii="Work Sans" w:eastAsia="Work Sans" w:hAnsi="Work Sans" w:cs="Work Sans"/>
        </w:rPr>
        <w:t>os</w:t>
      </w:r>
      <w:r>
        <w:rPr>
          <w:rFonts w:ascii="Work Sans" w:eastAsia="Work Sans" w:hAnsi="Work Sans" w:cs="Work Sans"/>
        </w:rPr>
        <w:t xml:space="preserve"> que un contrato estatal es absolutamente nulo, entre ell</w:t>
      </w:r>
      <w:r w:rsidR="00E9503F">
        <w:rPr>
          <w:rFonts w:ascii="Work Sans" w:eastAsia="Work Sans" w:hAnsi="Work Sans" w:cs="Work Sans"/>
        </w:rPr>
        <w:t>os</w:t>
      </w:r>
      <w:r>
        <w:rPr>
          <w:rFonts w:ascii="Work Sans" w:eastAsia="Work Sans" w:hAnsi="Work Sans" w:cs="Work Sans"/>
        </w:rPr>
        <w:t xml:space="preserve">: </w:t>
      </w:r>
      <w:r w:rsidRPr="006E0DED">
        <w:rPr>
          <w:rFonts w:ascii="Work Sans" w:eastAsia="Work Sans" w:hAnsi="Work Sans" w:cs="Work Sans"/>
          <w:b/>
        </w:rPr>
        <w:t>(i)</w:t>
      </w:r>
      <w:r>
        <w:rPr>
          <w:rFonts w:ascii="Work Sans" w:eastAsia="Work Sans" w:hAnsi="Work Sans" w:cs="Work Sans"/>
        </w:rPr>
        <w:t xml:space="preserve"> su celebración con personas incursas en inhabilidades o incompatibilidades; </w:t>
      </w:r>
      <w:r w:rsidRPr="006E0DED">
        <w:rPr>
          <w:rFonts w:ascii="Work Sans" w:eastAsia="Work Sans" w:hAnsi="Work Sans" w:cs="Work Sans"/>
          <w:b/>
        </w:rPr>
        <w:t>(ii)</w:t>
      </w:r>
      <w:r>
        <w:rPr>
          <w:rFonts w:ascii="Work Sans" w:eastAsia="Work Sans" w:hAnsi="Work Sans" w:cs="Work Sans"/>
        </w:rPr>
        <w:t xml:space="preserve"> su celebración contra expresa prohibición constitucional o</w:t>
      </w:r>
      <w:r>
        <w:rPr>
          <w:rFonts w:ascii="Work Sans" w:eastAsia="Work Sans" w:hAnsi="Work Sans" w:cs="Work Sans"/>
        </w:rPr>
        <w:t xml:space="preserve"> legal; </w:t>
      </w:r>
      <w:r w:rsidRPr="006E0DED">
        <w:rPr>
          <w:rFonts w:ascii="Work Sans" w:eastAsia="Work Sans" w:hAnsi="Work Sans" w:cs="Work Sans"/>
          <w:b/>
        </w:rPr>
        <w:t>(iii)</w:t>
      </w:r>
      <w:r>
        <w:rPr>
          <w:rFonts w:ascii="Work Sans" w:eastAsia="Work Sans" w:hAnsi="Work Sans" w:cs="Work Sans"/>
        </w:rPr>
        <w:t xml:space="preserve"> la existencia de abuso o desviación de poder; </w:t>
      </w:r>
      <w:r w:rsidRPr="006E0DED">
        <w:rPr>
          <w:rFonts w:ascii="Work Sans" w:eastAsia="Work Sans" w:hAnsi="Work Sans" w:cs="Work Sans"/>
          <w:b/>
        </w:rPr>
        <w:t xml:space="preserve">(iv) </w:t>
      </w:r>
      <w:r>
        <w:rPr>
          <w:rFonts w:ascii="Work Sans" w:eastAsia="Work Sans" w:hAnsi="Work Sans" w:cs="Work Sans"/>
        </w:rPr>
        <w:t xml:space="preserve">la declaratoria de nulidad de los actos administrativos que le sirven de fundamento; y </w:t>
      </w:r>
      <w:r w:rsidRPr="006E0DED">
        <w:rPr>
          <w:rFonts w:ascii="Work Sans" w:eastAsia="Work Sans" w:hAnsi="Work Sans" w:cs="Work Sans"/>
          <w:b/>
        </w:rPr>
        <w:t>(v)</w:t>
      </w:r>
      <w:r>
        <w:rPr>
          <w:rFonts w:ascii="Work Sans" w:eastAsia="Work Sans" w:hAnsi="Work Sans" w:cs="Work Sans"/>
        </w:rPr>
        <w:t xml:space="preserve"> la vulneración de los criterios previstos en el artículo 21 de la misma ley relativos al tratamiento</w:t>
      </w:r>
      <w:r>
        <w:rPr>
          <w:rFonts w:ascii="Work Sans" w:eastAsia="Work Sans" w:hAnsi="Work Sans" w:cs="Work Sans"/>
        </w:rPr>
        <w:t xml:space="preserve"> de ofertas nacionales y extranjeras.</w:t>
      </w:r>
    </w:p>
    <w:p w:rsidR="004D0A7F" w:rsidRDefault="004F0EEA" w:rsidP="008424CE">
      <w:pPr>
        <w:spacing w:before="280" w:after="280"/>
        <w:ind w:left="426" w:right="332"/>
        <w:jc w:val="both"/>
        <w:rPr>
          <w:rFonts w:ascii="Work Sans" w:eastAsia="Work Sans" w:hAnsi="Work Sans" w:cs="Work Sans"/>
        </w:rPr>
      </w:pPr>
      <w:r>
        <w:rPr>
          <w:rFonts w:ascii="Work Sans" w:eastAsia="Work Sans" w:hAnsi="Work Sans" w:cs="Work Sans"/>
        </w:rPr>
        <w:t>Por su parte, el artículo 45 señala que la nulidad absoluta no es susceptible de sanción y puede ser alegada por las partes, el Ministerio Público o cualquier persona, o declarada de oficio.</w:t>
      </w:r>
    </w:p>
    <w:p w:rsidR="004D0A7F" w:rsidRDefault="004F0EEA" w:rsidP="00FF6CCC">
      <w:pPr>
        <w:spacing w:before="120" w:after="120" w:line="320" w:lineRule="exact"/>
        <w:jc w:val="both"/>
        <w:rPr>
          <w:rFonts w:ascii="Work Sans" w:eastAsia="Work Sans" w:hAnsi="Work Sans" w:cs="Work Sans"/>
        </w:rPr>
      </w:pPr>
      <w:r>
        <w:rPr>
          <w:rFonts w:ascii="Work Sans" w:eastAsia="Work Sans" w:hAnsi="Work Sans" w:cs="Work Sans"/>
        </w:rPr>
        <w:t>En el caso concreto, la irr</w:t>
      </w:r>
      <w:r>
        <w:rPr>
          <w:rFonts w:ascii="Work Sans" w:eastAsia="Work Sans" w:hAnsi="Work Sans" w:cs="Work Sans"/>
        </w:rPr>
        <w:t xml:space="preserve">egularidad advertida corresponde exclusivamente a un defecto de trámite derivado de un error involuntario en la etapa contractual, el cual no afecta la existencia, validez ni perfeccionamiento del contrato. Ello se ajusta a la jurisprudencia reiterada del </w:t>
      </w:r>
      <w:r>
        <w:rPr>
          <w:rFonts w:ascii="Work Sans" w:eastAsia="Work Sans" w:hAnsi="Work Sans" w:cs="Work Sans"/>
        </w:rPr>
        <w:t>Consejo de Estado, que ha precisado que el Registro Presupuestal (RP) no constituye un requisito de existencia del contrato, sino un presupuesto para su ejecución.</w:t>
      </w:r>
    </w:p>
    <w:p w:rsidR="004D0A7F" w:rsidRDefault="004F0EEA" w:rsidP="00FF6CCC">
      <w:pPr>
        <w:spacing w:before="120" w:after="120" w:line="320" w:lineRule="exact"/>
        <w:jc w:val="both"/>
        <w:rPr>
          <w:rFonts w:ascii="Work Sans" w:eastAsia="Work Sans" w:hAnsi="Work Sans" w:cs="Work Sans"/>
        </w:rPr>
      </w:pPr>
      <w:r>
        <w:rPr>
          <w:rFonts w:ascii="Work Sans" w:eastAsia="Work Sans" w:hAnsi="Work Sans" w:cs="Work Sans"/>
        </w:rPr>
        <w:t>En relación con la naturaleza y finalidad del RP, la Sección Tercera, Subsección C del Conse</w:t>
      </w:r>
      <w:r>
        <w:rPr>
          <w:rFonts w:ascii="Work Sans" w:eastAsia="Work Sans" w:hAnsi="Work Sans" w:cs="Work Sans"/>
        </w:rPr>
        <w:t>jo de Estado, en sentencia del 5 de junio de 2014, Rad. 05001-23-31-000-1998-01350-01 (28565), afirmó:</w:t>
      </w:r>
    </w:p>
    <w:p w:rsidR="004D0A7F" w:rsidRPr="00CC7B2C" w:rsidRDefault="004F0EEA" w:rsidP="00FF6CCC">
      <w:pPr>
        <w:spacing w:before="120" w:after="120" w:line="320" w:lineRule="exact"/>
        <w:ind w:left="567" w:right="332"/>
        <w:jc w:val="both"/>
        <w:rPr>
          <w:rFonts w:ascii="Work Sans" w:eastAsia="Work Sans" w:hAnsi="Work Sans" w:cs="Work Sans"/>
          <w:i/>
        </w:rPr>
      </w:pPr>
      <w:r w:rsidRPr="00CC7B2C">
        <w:rPr>
          <w:rFonts w:ascii="Work Sans" w:eastAsia="Work Sans" w:hAnsi="Work Sans" w:cs="Work Sans"/>
          <w:i/>
        </w:rPr>
        <w:t xml:space="preserve">“El registro presupuestal garantiza las apropiaciones específicas para afectar un negocio jurídico concreto: su precio, un contratista identificado y un </w:t>
      </w:r>
      <w:r w:rsidRPr="00CC7B2C">
        <w:rPr>
          <w:rFonts w:ascii="Work Sans" w:eastAsia="Work Sans" w:hAnsi="Work Sans" w:cs="Work Sans"/>
          <w:i/>
        </w:rPr>
        <w:t>plazo de ejecución. […] El artículo 20 del Decreto 111 de 1996 lo define como la operación mediante la cual se perfecciona el compromiso y se afecta en forma definitiva la apropiación, garantizando que esta no será desviada a ningún otro fin. Por su natura</w:t>
      </w:r>
      <w:r w:rsidRPr="00CC7B2C">
        <w:rPr>
          <w:rFonts w:ascii="Work Sans" w:eastAsia="Work Sans" w:hAnsi="Work Sans" w:cs="Work Sans"/>
          <w:i/>
        </w:rPr>
        <w:t>leza, los recursos reservados para pagar las prestaciones de un contrato, a un contratista identificado, no pueden emplearse para pagar otro contrato”.</w:t>
      </w:r>
    </w:p>
    <w:p w:rsidR="004D0A7F" w:rsidRDefault="004F0EEA" w:rsidP="00FF6CCC">
      <w:pPr>
        <w:spacing w:before="120" w:after="120" w:line="320" w:lineRule="exact"/>
        <w:jc w:val="both"/>
        <w:rPr>
          <w:rFonts w:ascii="Work Sans" w:eastAsia="Work Sans" w:hAnsi="Work Sans" w:cs="Work Sans"/>
        </w:rPr>
      </w:pPr>
      <w:r>
        <w:rPr>
          <w:rFonts w:ascii="Work Sans" w:eastAsia="Work Sans" w:hAnsi="Work Sans" w:cs="Work Sans"/>
        </w:rPr>
        <w:t>Lo anterior confirma que la ausencia temporal o expedición tardía del Registro Presupuestal no configura causal de nulidad del contrato, sino un error subsanable de carácter procedimental.</w:t>
      </w:r>
    </w:p>
    <w:p w:rsidR="004D0A7F" w:rsidRDefault="004F0EEA" w:rsidP="00FF6CCC">
      <w:pPr>
        <w:spacing w:before="120" w:after="120" w:line="320" w:lineRule="exact"/>
        <w:jc w:val="both"/>
        <w:rPr>
          <w:rFonts w:ascii="Work Sans" w:eastAsia="Work Sans" w:hAnsi="Work Sans" w:cs="Work Sans"/>
        </w:rPr>
      </w:pPr>
      <w:r>
        <w:rPr>
          <w:rFonts w:ascii="Work Sans" w:eastAsia="Work Sans" w:hAnsi="Work Sans" w:cs="Work Sans"/>
        </w:rPr>
        <w:lastRenderedPageBreak/>
        <w:t xml:space="preserve">En esa medida, resulta jurídicamente procedente acudir a la figura </w:t>
      </w:r>
      <w:r>
        <w:rPr>
          <w:rFonts w:ascii="Work Sans" w:eastAsia="Work Sans" w:hAnsi="Work Sans" w:cs="Work Sans"/>
        </w:rPr>
        <w:t>del saneamiento prevista en el artículo 49 de la Ley 80 de 1993, que dispone:</w:t>
      </w:r>
    </w:p>
    <w:p w:rsidR="004D0A7F" w:rsidRPr="00CC7B2C" w:rsidRDefault="004F0EEA" w:rsidP="00FF6CCC">
      <w:pPr>
        <w:spacing w:before="120" w:after="120" w:line="320" w:lineRule="exact"/>
        <w:ind w:left="567" w:right="332"/>
        <w:jc w:val="both"/>
        <w:rPr>
          <w:rFonts w:ascii="Work Sans" w:eastAsia="Work Sans" w:hAnsi="Work Sans" w:cs="Work Sans"/>
          <w:i/>
        </w:rPr>
      </w:pPr>
      <w:r w:rsidRPr="00CC7B2C">
        <w:rPr>
          <w:rFonts w:ascii="Work Sans" w:eastAsia="Work Sans" w:hAnsi="Work Sans" w:cs="Work Sans"/>
          <w:i/>
        </w:rPr>
        <w:t>“Ante la ocurrencia de vicios que no constituyan causales de nulidad y cuando las necesidades del servicio lo exijan o las reglas de la buena administración lo aconsejen, el jefe</w:t>
      </w:r>
      <w:r w:rsidRPr="00CC7B2C">
        <w:rPr>
          <w:rFonts w:ascii="Work Sans" w:eastAsia="Work Sans" w:hAnsi="Work Sans" w:cs="Work Sans"/>
          <w:i/>
        </w:rPr>
        <w:t xml:space="preserve"> o representante legal de la entidad, en acto motivado, podrá sanear el correspondiente vicio”.</w:t>
      </w:r>
    </w:p>
    <w:p w:rsidR="004D0A7F" w:rsidRDefault="004F0EEA" w:rsidP="00FF6CCC">
      <w:pPr>
        <w:spacing w:before="120" w:after="120" w:line="320" w:lineRule="exact"/>
        <w:jc w:val="both"/>
        <w:rPr>
          <w:rFonts w:ascii="Work Sans" w:eastAsia="Work Sans" w:hAnsi="Work Sans" w:cs="Work Sans"/>
        </w:rPr>
      </w:pPr>
      <w:bookmarkStart w:id="0" w:name="_heading=h.4pb9ui8kksgn" w:colFirst="0" w:colLast="0"/>
      <w:bookmarkEnd w:id="0"/>
      <w:r>
        <w:rPr>
          <w:rFonts w:ascii="Work Sans" w:eastAsia="Work Sans" w:hAnsi="Work Sans" w:cs="Work Sans"/>
        </w:rPr>
        <w:t>Bajo este marco normativo y jurisprudencial, y atendiendo a los principios de buena fe, eficacia y responsabilidad que orientan la función administrativa confor</w:t>
      </w:r>
      <w:r>
        <w:rPr>
          <w:rFonts w:ascii="Work Sans" w:eastAsia="Work Sans" w:hAnsi="Work Sans" w:cs="Work Sans"/>
        </w:rPr>
        <w:t>me al artículo 209 de la Constitución Política, es procedente sanear el defecto de trámite ocasionado por el error involuntario en la expedición y gestión del Registro Presupuestal, garantizando así la protección de los derechos de la contratista, quien no</w:t>
      </w:r>
      <w:r>
        <w:rPr>
          <w:rFonts w:ascii="Work Sans" w:eastAsia="Work Sans" w:hAnsi="Work Sans" w:cs="Work Sans"/>
        </w:rPr>
        <w:t xml:space="preserve"> puede resultar afectada por errores administrativos ajenos a su actuación.</w:t>
      </w:r>
    </w:p>
    <w:p w:rsidR="004D0A7F" w:rsidRDefault="004F0EEA" w:rsidP="00FF6CCC">
      <w:pPr>
        <w:spacing w:before="120" w:after="120" w:line="320" w:lineRule="exact"/>
        <w:jc w:val="both"/>
        <w:rPr>
          <w:rFonts w:ascii="Work Sans" w:eastAsia="Work Sans" w:hAnsi="Work Sans" w:cs="Work Sans"/>
        </w:rPr>
      </w:pPr>
      <w:r>
        <w:rPr>
          <w:rFonts w:ascii="Work Sans" w:eastAsia="Work Sans" w:hAnsi="Work Sans" w:cs="Work Sans"/>
        </w:rPr>
        <w:t>La interpretación de este precepto ha sido reiterada por la Agencia Nacional de Contratación Pública –Colombia Compra Eficiente</w:t>
      </w:r>
      <w:r w:rsidR="00891958">
        <w:rPr>
          <w:rFonts w:ascii="Work Sans" w:eastAsia="Work Sans" w:hAnsi="Work Sans" w:cs="Work Sans"/>
        </w:rPr>
        <w:t xml:space="preserve"> </w:t>
      </w:r>
      <w:r>
        <w:rPr>
          <w:rFonts w:ascii="Work Sans" w:eastAsia="Work Sans" w:hAnsi="Work Sans" w:cs="Work Sans"/>
        </w:rPr>
        <w:t>en el Concepto C-041 de 2025, en el que se precisó:</w:t>
      </w:r>
    </w:p>
    <w:p w:rsidR="004D0A7F" w:rsidRDefault="004F0EEA" w:rsidP="00FF6CCC">
      <w:pPr>
        <w:spacing w:before="120" w:after="120" w:line="320" w:lineRule="exact"/>
        <w:ind w:left="426" w:right="332"/>
        <w:jc w:val="both"/>
        <w:rPr>
          <w:rFonts w:ascii="Work Sans" w:eastAsia="Work Sans" w:hAnsi="Work Sans" w:cs="Work Sans"/>
        </w:rPr>
      </w:pPr>
      <w:r w:rsidRPr="00891958">
        <w:rPr>
          <w:rFonts w:ascii="Work Sans" w:eastAsia="Work Sans" w:hAnsi="Work Sans" w:cs="Work Sans"/>
          <w:i/>
        </w:rPr>
        <w:t>“La Ley 80 de 1993 otorga una autorización a las entidades estatales para remediar o corregir aquellos defectos o irregularidades de procedimiento o de forma que no constituyen causales de nulidad del contrato, a través de la figura del saneamiento previs</w:t>
      </w:r>
      <w:r w:rsidRPr="00891958">
        <w:rPr>
          <w:rFonts w:ascii="Work Sans" w:eastAsia="Work Sans" w:hAnsi="Work Sans" w:cs="Work Sans"/>
          <w:i/>
        </w:rPr>
        <w:t>ta en el artículo 49</w:t>
      </w:r>
      <w:r>
        <w:rPr>
          <w:rFonts w:ascii="Work Sans" w:eastAsia="Work Sans" w:hAnsi="Work Sans" w:cs="Work Sans"/>
        </w:rPr>
        <w:t>”.</w:t>
      </w:r>
    </w:p>
    <w:p w:rsidR="004D0A7F" w:rsidRDefault="004F0EEA" w:rsidP="00FF6CCC">
      <w:pPr>
        <w:spacing w:before="120" w:after="120" w:line="320" w:lineRule="exact"/>
        <w:jc w:val="both"/>
        <w:rPr>
          <w:rFonts w:ascii="Work Sans" w:eastAsia="Work Sans" w:hAnsi="Work Sans" w:cs="Work Sans"/>
        </w:rPr>
      </w:pPr>
      <w:r>
        <w:rPr>
          <w:rFonts w:ascii="Work Sans" w:eastAsia="Work Sans" w:hAnsi="Work Sans" w:cs="Work Sans"/>
        </w:rPr>
        <w:t>De acuerdo con dicho concepto, para la procedencia del saneamiento deben verificarse los siguientes requisitos:</w:t>
      </w:r>
    </w:p>
    <w:p w:rsidR="00891958" w:rsidRDefault="004F0EEA" w:rsidP="00FF6CCC">
      <w:pPr>
        <w:pStyle w:val="Prrafodelista"/>
        <w:numPr>
          <w:ilvl w:val="3"/>
          <w:numId w:val="2"/>
        </w:numPr>
        <w:spacing w:before="120" w:after="120" w:line="320" w:lineRule="exact"/>
        <w:ind w:left="851" w:hanging="284"/>
        <w:contextualSpacing w:val="0"/>
        <w:jc w:val="both"/>
        <w:rPr>
          <w:rFonts w:ascii="Work Sans" w:eastAsia="Work Sans" w:hAnsi="Work Sans" w:cs="Work Sans"/>
        </w:rPr>
      </w:pPr>
      <w:r w:rsidRPr="00891958">
        <w:rPr>
          <w:rFonts w:ascii="Work Sans" w:eastAsia="Work Sans" w:hAnsi="Work Sans" w:cs="Work Sans"/>
        </w:rPr>
        <w:t>Que el vicio sea de procedimiento o de forma, lo cual implica que no es posible sanear vicios de fondo o sustanciales.</w:t>
      </w:r>
    </w:p>
    <w:p w:rsidR="00891958" w:rsidRDefault="004F0EEA" w:rsidP="00FF6CCC">
      <w:pPr>
        <w:pStyle w:val="Prrafodelista"/>
        <w:numPr>
          <w:ilvl w:val="3"/>
          <w:numId w:val="2"/>
        </w:numPr>
        <w:spacing w:before="120" w:after="120" w:line="320" w:lineRule="exact"/>
        <w:ind w:left="851" w:hanging="284"/>
        <w:contextualSpacing w:val="0"/>
        <w:jc w:val="both"/>
        <w:rPr>
          <w:rFonts w:ascii="Work Sans" w:eastAsia="Work Sans" w:hAnsi="Work Sans" w:cs="Work Sans"/>
        </w:rPr>
      </w:pPr>
      <w:r w:rsidRPr="00891958">
        <w:rPr>
          <w:rFonts w:ascii="Work Sans" w:eastAsia="Work Sans" w:hAnsi="Work Sans" w:cs="Work Sans"/>
        </w:rPr>
        <w:t>Qu</w:t>
      </w:r>
      <w:r w:rsidRPr="00891958">
        <w:rPr>
          <w:rFonts w:ascii="Work Sans" w:eastAsia="Work Sans" w:hAnsi="Work Sans" w:cs="Work Sans"/>
        </w:rPr>
        <w:t>e el vicio no corresponda a ninguna causal de nulidad, ni absoluta ni relativa, del contrato estatal.</w:t>
      </w:r>
    </w:p>
    <w:p w:rsidR="00891958" w:rsidRDefault="004F0EEA" w:rsidP="00FF6CCC">
      <w:pPr>
        <w:pStyle w:val="Prrafodelista"/>
        <w:numPr>
          <w:ilvl w:val="3"/>
          <w:numId w:val="2"/>
        </w:numPr>
        <w:spacing w:before="120" w:after="120" w:line="320" w:lineRule="exact"/>
        <w:ind w:left="851" w:hanging="284"/>
        <w:contextualSpacing w:val="0"/>
        <w:jc w:val="both"/>
        <w:rPr>
          <w:rFonts w:ascii="Work Sans" w:eastAsia="Work Sans" w:hAnsi="Work Sans" w:cs="Work Sans"/>
        </w:rPr>
      </w:pPr>
      <w:r w:rsidRPr="00891958">
        <w:rPr>
          <w:rFonts w:ascii="Work Sans" w:eastAsia="Work Sans" w:hAnsi="Work Sans" w:cs="Work Sans"/>
        </w:rPr>
        <w:t>Que el saneamiento se realice mediante acto administrativo debidamente motivado.</w:t>
      </w:r>
    </w:p>
    <w:p w:rsidR="00891958" w:rsidRDefault="004F0EEA" w:rsidP="00FF6CCC">
      <w:pPr>
        <w:pStyle w:val="Prrafodelista"/>
        <w:numPr>
          <w:ilvl w:val="3"/>
          <w:numId w:val="2"/>
        </w:numPr>
        <w:spacing w:before="120" w:after="120" w:line="320" w:lineRule="exact"/>
        <w:ind w:left="851" w:hanging="284"/>
        <w:contextualSpacing w:val="0"/>
        <w:jc w:val="both"/>
        <w:rPr>
          <w:rFonts w:ascii="Work Sans" w:eastAsia="Work Sans" w:hAnsi="Work Sans" w:cs="Work Sans"/>
        </w:rPr>
      </w:pPr>
      <w:r w:rsidRPr="00891958">
        <w:rPr>
          <w:rFonts w:ascii="Work Sans" w:eastAsia="Work Sans" w:hAnsi="Work Sans" w:cs="Work Sans"/>
        </w:rPr>
        <w:t xml:space="preserve">Que sea adelantado por el funcionario competente, esto es, el jefe de la </w:t>
      </w:r>
      <w:r w:rsidRPr="00891958">
        <w:rPr>
          <w:rFonts w:ascii="Work Sans" w:eastAsia="Work Sans" w:hAnsi="Work Sans" w:cs="Work Sans"/>
        </w:rPr>
        <w:t>entidad o su representante legal.</w:t>
      </w:r>
    </w:p>
    <w:p w:rsidR="004D0A7F" w:rsidRPr="00891958" w:rsidRDefault="004F0EEA" w:rsidP="00FF6CCC">
      <w:pPr>
        <w:pStyle w:val="Prrafodelista"/>
        <w:numPr>
          <w:ilvl w:val="3"/>
          <w:numId w:val="2"/>
        </w:numPr>
        <w:spacing w:before="120" w:after="120" w:line="320" w:lineRule="exact"/>
        <w:ind w:left="851" w:hanging="284"/>
        <w:contextualSpacing w:val="0"/>
        <w:jc w:val="both"/>
        <w:rPr>
          <w:rFonts w:ascii="Work Sans" w:eastAsia="Work Sans" w:hAnsi="Work Sans" w:cs="Work Sans"/>
        </w:rPr>
      </w:pPr>
      <w:r w:rsidRPr="00891958">
        <w:rPr>
          <w:rFonts w:ascii="Work Sans" w:eastAsia="Work Sans" w:hAnsi="Work Sans" w:cs="Work Sans"/>
        </w:rPr>
        <w:lastRenderedPageBreak/>
        <w:t>Que las necesidades del servicio o las reglas de la buena administración justifiquen su aplicación.</w:t>
      </w:r>
    </w:p>
    <w:p w:rsidR="004D0A7F" w:rsidRPr="009122EF" w:rsidRDefault="004F0EEA" w:rsidP="00FF6CCC">
      <w:pPr>
        <w:spacing w:before="120" w:after="120" w:line="320" w:lineRule="exact"/>
        <w:jc w:val="both"/>
        <w:rPr>
          <w:rFonts w:ascii="Work Sans" w:eastAsia="Work Sans" w:hAnsi="Work Sans" w:cs="Work Sans"/>
          <w:b/>
        </w:rPr>
      </w:pPr>
      <w:r>
        <w:rPr>
          <w:rFonts w:ascii="Work Sans" w:eastAsia="Work Sans" w:hAnsi="Work Sans" w:cs="Work Sans"/>
        </w:rPr>
        <w:t>E</w:t>
      </w:r>
      <w:r>
        <w:rPr>
          <w:rFonts w:ascii="Work Sans" w:eastAsia="Work Sans" w:hAnsi="Work Sans" w:cs="Work Sans"/>
        </w:rPr>
        <w:t xml:space="preserve">n el presente caso, el error detectado corresponde exclusivamente a un vicio de procedimiento </w:t>
      </w:r>
      <w:r w:rsidR="00891958">
        <w:rPr>
          <w:rFonts w:ascii="Work Sans" w:eastAsia="Work Sans" w:hAnsi="Work Sans" w:cs="Work Sans"/>
        </w:rPr>
        <w:t xml:space="preserve">o de forma </w:t>
      </w:r>
      <w:r>
        <w:rPr>
          <w:rFonts w:ascii="Work Sans" w:eastAsia="Work Sans" w:hAnsi="Work Sans" w:cs="Work Sans"/>
        </w:rPr>
        <w:t>derivado de un fallo técnic</w:t>
      </w:r>
      <w:r>
        <w:rPr>
          <w:rFonts w:ascii="Work Sans" w:eastAsia="Work Sans" w:hAnsi="Work Sans" w:cs="Work Sans"/>
        </w:rPr>
        <w:t>o en el flujo de la plataforma NEÓN, que generó la expedición tardía del Registro Presupuestal, con fecha posterior al inicio de las actividades desempeñadas por la contratista. Por tanto, se cumplen los presupuestos para la aplicación de la figura del san</w:t>
      </w:r>
      <w:r>
        <w:rPr>
          <w:rFonts w:ascii="Work Sans" w:eastAsia="Work Sans" w:hAnsi="Work Sans" w:cs="Work Sans"/>
        </w:rPr>
        <w:t>eamiento, a fin de proteger la confianza legítima de la contratista y garantizar el pago total del servicio prestado.</w:t>
      </w:r>
    </w:p>
    <w:p w:rsidR="004D0A7F" w:rsidRPr="009122EF" w:rsidRDefault="004D0A7F">
      <w:pPr>
        <w:jc w:val="both"/>
        <w:rPr>
          <w:rFonts w:ascii="Work Sans" w:eastAsia="Work Sans" w:hAnsi="Work Sans" w:cs="Work Sans"/>
          <w:b/>
        </w:rPr>
      </w:pPr>
    </w:p>
    <w:p w:rsidR="004D0A7F" w:rsidRPr="009122EF" w:rsidRDefault="004F0EEA">
      <w:pPr>
        <w:numPr>
          <w:ilvl w:val="1"/>
          <w:numId w:val="1"/>
        </w:numPr>
        <w:pBdr>
          <w:top w:val="nil"/>
          <w:left w:val="nil"/>
          <w:bottom w:val="nil"/>
          <w:right w:val="nil"/>
          <w:between w:val="nil"/>
        </w:pBdr>
        <w:jc w:val="both"/>
        <w:rPr>
          <w:rFonts w:ascii="Work Sans" w:eastAsia="Work Sans" w:hAnsi="Work Sans" w:cs="Work Sans"/>
          <w:b/>
        </w:rPr>
      </w:pPr>
      <w:r w:rsidRPr="009122EF">
        <w:rPr>
          <w:rFonts w:ascii="Work Sans" w:eastAsia="Work Sans" w:hAnsi="Work Sans" w:cs="Work Sans"/>
          <w:b/>
        </w:rPr>
        <w:t xml:space="preserve"> Deber de garantizar el pago de honorarios al contratista</w:t>
      </w:r>
      <w:r w:rsidRPr="009122EF">
        <w:rPr>
          <w:rFonts w:ascii="Work Sans" w:eastAsia="Work Sans" w:hAnsi="Work Sans" w:cs="Work Sans"/>
          <w:b/>
        </w:rPr>
        <w:t xml:space="preserve"> </w:t>
      </w:r>
    </w:p>
    <w:p w:rsidR="004D0A7F" w:rsidRPr="009122EF" w:rsidRDefault="004F0EEA">
      <w:pPr>
        <w:jc w:val="both"/>
        <w:rPr>
          <w:rFonts w:ascii="Work Sans" w:eastAsia="Work Sans" w:hAnsi="Work Sans" w:cs="Work Sans"/>
          <w:b/>
        </w:rPr>
      </w:pPr>
      <w:r w:rsidRPr="009122EF">
        <w:rPr>
          <w:rFonts w:ascii="Work Sans" w:eastAsia="Work Sans" w:hAnsi="Work Sans" w:cs="Work Sans"/>
          <w:b/>
        </w:rPr>
        <w:t xml:space="preserve"> </w:t>
      </w:r>
    </w:p>
    <w:p w:rsidR="004D0A7F" w:rsidRPr="00285ECB" w:rsidRDefault="004F0EEA" w:rsidP="00285ECB">
      <w:pPr>
        <w:jc w:val="both"/>
        <w:rPr>
          <w:rFonts w:ascii="Work Sans" w:eastAsia="Work Sans" w:hAnsi="Work Sans" w:cs="Work Sans"/>
          <w:b/>
        </w:rPr>
      </w:pPr>
      <w:r>
        <w:rPr>
          <w:rFonts w:ascii="Work Sans" w:eastAsia="Work Sans" w:hAnsi="Work Sans" w:cs="Work Sans"/>
        </w:rPr>
        <w:t>De co</w:t>
      </w:r>
      <w:r>
        <w:rPr>
          <w:rFonts w:ascii="Work Sans" w:eastAsia="Work Sans" w:hAnsi="Work Sans" w:cs="Work Sans"/>
        </w:rPr>
        <w:t>n</w:t>
      </w:r>
      <w:r>
        <w:rPr>
          <w:rFonts w:ascii="Work Sans" w:eastAsia="Work Sans" w:hAnsi="Work Sans" w:cs="Work Sans"/>
        </w:rPr>
        <w:t>formidad con lo dispuesto en el Artículo 5º de la Ley 80 de 1993, los contratistas tendrán derecho a:</w:t>
      </w:r>
    </w:p>
    <w:p w:rsidR="004D0A7F" w:rsidRPr="00285ECB" w:rsidRDefault="00285ECB" w:rsidP="00285ECB">
      <w:pPr>
        <w:spacing w:before="280" w:after="280"/>
        <w:ind w:left="567" w:right="332"/>
        <w:jc w:val="both"/>
        <w:rPr>
          <w:rFonts w:ascii="Work Sans" w:eastAsia="Work Sans" w:hAnsi="Work Sans" w:cs="Work Sans"/>
          <w:i/>
        </w:rPr>
      </w:pPr>
      <w:r w:rsidRPr="00285ECB">
        <w:rPr>
          <w:rFonts w:ascii="Work Sans" w:eastAsia="Work Sans" w:hAnsi="Work Sans" w:cs="Work Sans"/>
          <w:i/>
        </w:rPr>
        <w:t>“</w:t>
      </w:r>
      <w:r w:rsidR="004F0EEA" w:rsidRPr="00285ECB">
        <w:rPr>
          <w:rFonts w:ascii="Work Sans" w:eastAsia="Work Sans" w:hAnsi="Work Sans" w:cs="Work Sans"/>
          <w:i/>
        </w:rPr>
        <w:t>Recibir oportunamente la remuneración pactada, garantizando que el valor intrínseco de la misma no se altere ni modifique durante la vigencia del co</w:t>
      </w:r>
      <w:r w:rsidR="004F0EEA" w:rsidRPr="00285ECB">
        <w:rPr>
          <w:rFonts w:ascii="Work Sans" w:eastAsia="Work Sans" w:hAnsi="Work Sans" w:cs="Work Sans"/>
          <w:i/>
        </w:rPr>
        <w:t>ntrato.</w:t>
      </w:r>
      <w:r w:rsidRPr="00285ECB">
        <w:rPr>
          <w:rFonts w:ascii="Work Sans" w:eastAsia="Work Sans" w:hAnsi="Work Sans" w:cs="Work Sans"/>
          <w:i/>
        </w:rPr>
        <w:t>”</w:t>
      </w:r>
    </w:p>
    <w:p w:rsidR="004D0A7F" w:rsidRDefault="004F0EEA">
      <w:pPr>
        <w:spacing w:before="280" w:after="280"/>
        <w:jc w:val="both"/>
        <w:rPr>
          <w:rFonts w:ascii="Work Sans" w:eastAsia="Work Sans" w:hAnsi="Work Sans" w:cs="Work Sans"/>
        </w:rPr>
      </w:pPr>
      <w:r>
        <w:rPr>
          <w:rFonts w:ascii="Work Sans" w:eastAsia="Work Sans" w:hAnsi="Work Sans" w:cs="Work Sans"/>
        </w:rPr>
        <w:t>Teniendo en cuenta que es un derecho del contratista recibir la remuneración por las actividades ejecutadas, la sentencia de la Sección Tercera, Subsección A del Consejo de Estado, Radicación No. 11001-03-06-000-2018-00034-00 (2369), del 10 de juni</w:t>
      </w:r>
      <w:r>
        <w:rPr>
          <w:rFonts w:ascii="Work Sans" w:eastAsia="Work Sans" w:hAnsi="Work Sans" w:cs="Work Sans"/>
        </w:rPr>
        <w:t>o de 2020, ha reiterado que la administración no puede beneficiarse de la prestación efectiva de servicios sin reconocer la correspondiente contraprestación, aun cuando existan errores administrativos o presupuestales. Esta línea jurisprudencial impone a l</w:t>
      </w:r>
      <w:r>
        <w:rPr>
          <w:rFonts w:ascii="Work Sans" w:eastAsia="Work Sans" w:hAnsi="Work Sans" w:cs="Work Sans"/>
        </w:rPr>
        <w:t>as entidades públicas, en virtud de los principios de buena fe, equidad y prohibición del enriquecimiento sin causa, la obligación de adoptar soluciones que permitan restablecer el equilibrio contractual y evitar cargas injustificadas para el contratista.</w:t>
      </w:r>
    </w:p>
    <w:p w:rsidR="004D0A7F" w:rsidRDefault="004F0EEA">
      <w:pPr>
        <w:spacing w:before="280" w:after="280"/>
        <w:jc w:val="both"/>
        <w:rPr>
          <w:rFonts w:ascii="Work Sans" w:eastAsia="Work Sans" w:hAnsi="Work Sans" w:cs="Work Sans"/>
        </w:rPr>
      </w:pPr>
      <w:r>
        <w:rPr>
          <w:rFonts w:ascii="Work Sans" w:eastAsia="Work Sans" w:hAnsi="Work Sans" w:cs="Work Sans"/>
        </w:rPr>
        <w:t xml:space="preserve">Asimismo, y teniendo en cuenta que en el presente caso se trata de un </w:t>
      </w:r>
      <w:r>
        <w:rPr>
          <w:rFonts w:ascii="Work Sans" w:eastAsia="Work Sans" w:hAnsi="Work Sans" w:cs="Work Sans"/>
          <w:b/>
          <w:bCs/>
        </w:rPr>
        <w:t>error involuntario</w:t>
      </w:r>
      <w:r>
        <w:rPr>
          <w:rFonts w:ascii="Work Sans" w:eastAsia="Work Sans" w:hAnsi="Work Sans" w:cs="Work Sans"/>
        </w:rPr>
        <w:t xml:space="preserve"> asociado a la programación del flujo desde el paso 541 – </w:t>
      </w:r>
      <w:r>
        <w:rPr>
          <w:rFonts w:ascii="Work Sans" w:eastAsia="Work Sans" w:hAnsi="Work Sans" w:cs="Work Sans"/>
          <w:i/>
          <w:iCs/>
        </w:rPr>
        <w:t>Elaboración de solicitud de cesión</w:t>
      </w:r>
      <w:r>
        <w:rPr>
          <w:rFonts w:ascii="Work Sans" w:eastAsia="Work Sans" w:hAnsi="Work Sans" w:cs="Work Sans"/>
        </w:rPr>
        <w:t>, configurado por el área al momento de gestionar el trámite, el cual generó</w:t>
      </w:r>
      <w:r>
        <w:rPr>
          <w:rFonts w:ascii="Work Sans" w:eastAsia="Work Sans" w:hAnsi="Work Sans" w:cs="Work Sans"/>
        </w:rPr>
        <w:t xml:space="preserve"> la expedición tardía del Registro Presupuestal (RP), </w:t>
      </w:r>
      <w:r>
        <w:rPr>
          <w:rFonts w:ascii="Work Sans" w:eastAsia="Work Sans" w:hAnsi="Work Sans" w:cs="Work Sans"/>
          <w:b/>
          <w:bCs/>
        </w:rPr>
        <w:t>no resulta procedente trasladar al contratista una carga que no está obligado a soportar</w:t>
      </w:r>
      <w:r>
        <w:rPr>
          <w:rFonts w:ascii="Work Sans" w:eastAsia="Work Sans" w:hAnsi="Work Sans" w:cs="Work Sans"/>
        </w:rPr>
        <w:t xml:space="preserve">, puesto que dicha situación se deriva exclusivamente de un </w:t>
      </w:r>
      <w:r>
        <w:rPr>
          <w:rFonts w:ascii="Work Sans" w:eastAsia="Work Sans" w:hAnsi="Work Sans" w:cs="Work Sans"/>
          <w:b/>
          <w:bCs/>
        </w:rPr>
        <w:t>error administrativo</w:t>
      </w:r>
      <w:r>
        <w:rPr>
          <w:rFonts w:ascii="Work Sans" w:eastAsia="Work Sans" w:hAnsi="Work Sans" w:cs="Work Sans"/>
        </w:rPr>
        <w:t>.</w:t>
      </w:r>
    </w:p>
    <w:p w:rsidR="004D0A7F" w:rsidRDefault="004F0EEA">
      <w:pPr>
        <w:spacing w:before="280" w:after="280"/>
        <w:jc w:val="both"/>
        <w:rPr>
          <w:rFonts w:ascii="Work Sans" w:eastAsia="Work Sans" w:hAnsi="Work Sans" w:cs="Work Sans"/>
        </w:rPr>
      </w:pPr>
      <w:r>
        <w:rPr>
          <w:rFonts w:ascii="Work Sans" w:eastAsia="Work Sans" w:hAnsi="Work Sans" w:cs="Work Sans"/>
        </w:rPr>
        <w:lastRenderedPageBreak/>
        <w:t xml:space="preserve">Este criterio ha sido reiterado </w:t>
      </w:r>
      <w:r>
        <w:rPr>
          <w:rFonts w:ascii="Work Sans" w:eastAsia="Work Sans" w:hAnsi="Work Sans" w:cs="Work Sans"/>
        </w:rPr>
        <w:t>en diversos pronunciamientos, entre ellos la Sentencia del Consejo de Estado, Sala de lo Contencioso Administrativo, Sección Tercera, del 21 de septiembre de 2000, Radicación No. 25000-23-26-000-1996-02483-01 (15.545). De acuerdo con este precedente, los e</w:t>
      </w:r>
      <w:r>
        <w:rPr>
          <w:rFonts w:ascii="Work Sans" w:eastAsia="Work Sans" w:hAnsi="Work Sans" w:cs="Work Sans"/>
        </w:rPr>
        <w:t xml:space="preserve">rrores de la administración no son oponibles al contratista. Cuando la entidad omite o incurre en fallas en la gestión presupuestaria </w:t>
      </w:r>
      <w:r>
        <w:rPr>
          <w:rFonts w:ascii="Work Sans" w:eastAsia="Work Sans" w:hAnsi="Work Sans" w:cs="Work Sans"/>
        </w:rPr>
        <w:t>como sucede, por ejemplo, al no generar oportunamente un registro presupuestal (RP)— tiene la obligación de adoptar los c</w:t>
      </w:r>
      <w:r>
        <w:rPr>
          <w:rFonts w:ascii="Work Sans" w:eastAsia="Work Sans" w:hAnsi="Work Sans" w:cs="Work Sans"/>
        </w:rPr>
        <w:t xml:space="preserve">orrectivos necesarios para reconocer las actividades ejecutadas, siempre dentro del marco del principio de legalidad del gasto. La providencia enfatiza que el contratista no puede soportar las consecuencias de fallas administrativas notorias atribuibles a </w:t>
      </w:r>
      <w:r>
        <w:rPr>
          <w:rFonts w:ascii="Work Sans" w:eastAsia="Work Sans" w:hAnsi="Work Sans" w:cs="Work Sans"/>
        </w:rPr>
        <w:t>la entidad.</w:t>
      </w:r>
    </w:p>
    <w:p w:rsidR="004D0A7F" w:rsidRDefault="004F0EEA">
      <w:pPr>
        <w:spacing w:before="280" w:after="280"/>
        <w:jc w:val="both"/>
        <w:rPr>
          <w:rFonts w:ascii="Work Sans" w:eastAsia="Work Sans" w:hAnsi="Work Sans" w:cs="Work Sans"/>
        </w:rPr>
      </w:pPr>
      <w:r>
        <w:rPr>
          <w:rFonts w:ascii="Work Sans" w:eastAsia="Work Sans" w:hAnsi="Work Sans" w:cs="Work Sans"/>
        </w:rPr>
        <w:t>En atención a lo expuesto, resulta jurídicamente obligatorio reconocer y pagar al contratista la remuneración correspondiente a las actividades efectivamente ejecutadas, en tanto la administración no puede beneficiarse de la prestación de un servicio sin o</w:t>
      </w:r>
      <w:r>
        <w:rPr>
          <w:rFonts w:ascii="Work Sans" w:eastAsia="Work Sans" w:hAnsi="Work Sans" w:cs="Work Sans"/>
        </w:rPr>
        <w:t>torgar la contraprestación debida. Ello es especialmente relevante cuando la expedición tardía del Registro Presupuestal obedeció a un error administrativo involuntario, derivado exclusivamente de fallas internas de la entidad y ajeno por completo al contr</w:t>
      </w:r>
      <w:r>
        <w:rPr>
          <w:rFonts w:ascii="Work Sans" w:eastAsia="Work Sans" w:hAnsi="Work Sans" w:cs="Work Sans"/>
        </w:rPr>
        <w:t>atista.</w:t>
      </w:r>
    </w:p>
    <w:p w:rsidR="00E534B3" w:rsidRPr="00E534B3" w:rsidRDefault="00E534B3" w:rsidP="00E534B3">
      <w:pPr>
        <w:spacing w:before="280" w:after="280"/>
        <w:jc w:val="both"/>
        <w:rPr>
          <w:rFonts w:ascii="Work Sans" w:eastAsia="Work Sans" w:hAnsi="Work Sans" w:cs="Work Sans"/>
        </w:rPr>
      </w:pPr>
      <w:r w:rsidRPr="00E534B3">
        <w:rPr>
          <w:rFonts w:ascii="Work Sans" w:eastAsia="Work Sans" w:hAnsi="Work Sans" w:cs="Work Sans"/>
        </w:rPr>
        <w:t>Debe resaltarse que no existe proceso alguno ante la Jurisdicción de lo Contencioso Administrativo que cuestione un eventual incumplimiento, ya sea por parte de la entidad o de la contratista.</w:t>
      </w:r>
    </w:p>
    <w:p w:rsidR="00E534B3" w:rsidRPr="00E534B3" w:rsidRDefault="00E534B3" w:rsidP="00E534B3">
      <w:pPr>
        <w:spacing w:before="280" w:after="280"/>
        <w:jc w:val="both"/>
        <w:rPr>
          <w:rFonts w:ascii="Work Sans" w:eastAsia="Work Sans" w:hAnsi="Work Sans" w:cs="Work Sans"/>
        </w:rPr>
      </w:pPr>
      <w:r w:rsidRPr="00E534B3">
        <w:rPr>
          <w:rFonts w:ascii="Work Sans" w:eastAsia="Work Sans" w:hAnsi="Work Sans" w:cs="Work Sans"/>
        </w:rPr>
        <w:t>En consecuencia, la entidad debe acudir a un acto administrativo de saneamiento, como mecanismo idóneo para evitar un conflicto jurídico innecesario y garantizar los derechos de la contratista, en aplicación del principio de buena fe objetiva y de la jurisprudencia que permite subsanar los errores administrativos cuando estos no afectan la validez del contrato.</w:t>
      </w:r>
    </w:p>
    <w:p w:rsidR="00E534B3" w:rsidRDefault="00E534B3" w:rsidP="00E534B3">
      <w:pPr>
        <w:spacing w:before="280" w:after="280"/>
        <w:jc w:val="both"/>
        <w:rPr>
          <w:rFonts w:ascii="Work Sans" w:eastAsia="Work Sans" w:hAnsi="Work Sans" w:cs="Work Sans"/>
        </w:rPr>
      </w:pPr>
      <w:r w:rsidRPr="00E534B3">
        <w:rPr>
          <w:rFonts w:ascii="Work Sans" w:eastAsia="Work Sans" w:hAnsi="Work Sans" w:cs="Work Sans"/>
        </w:rPr>
        <w:t xml:space="preserve">Lo anterior encuentra respaldo en el artículo 49 de la Ley 80 de 1993, disposición que faculta </w:t>
      </w:r>
      <w:r>
        <w:rPr>
          <w:rFonts w:ascii="Work Sans" w:eastAsia="Work Sans" w:hAnsi="Work Sans" w:cs="Work Sans"/>
        </w:rPr>
        <w:t xml:space="preserve">el saneamiento </w:t>
      </w:r>
      <w:r w:rsidRPr="00E534B3">
        <w:rPr>
          <w:rFonts w:ascii="Work Sans" w:eastAsia="Work Sans" w:hAnsi="Work Sans" w:cs="Work Sans"/>
        </w:rPr>
        <w:t>mediante acto motivado, los vicios de procedimiento o de forma que no constituyan causal de nulidad y cuando las necesidades del servicio o las reglas de la buena administración así lo exijan.</w:t>
      </w:r>
    </w:p>
    <w:p w:rsidR="002D2199" w:rsidRPr="00E534B3" w:rsidRDefault="002D2199" w:rsidP="00E534B3">
      <w:pPr>
        <w:spacing w:before="280" w:after="280"/>
        <w:jc w:val="both"/>
        <w:rPr>
          <w:rFonts w:ascii="Work Sans" w:eastAsia="Work Sans" w:hAnsi="Work Sans" w:cs="Work Sans"/>
        </w:rPr>
      </w:pPr>
      <w:bookmarkStart w:id="1" w:name="_GoBack"/>
      <w:bookmarkEnd w:id="1"/>
    </w:p>
    <w:p w:rsidR="004D0A7F" w:rsidRDefault="00E534B3" w:rsidP="00E534B3">
      <w:pPr>
        <w:spacing w:before="280" w:after="280"/>
        <w:jc w:val="both"/>
        <w:rPr>
          <w:rFonts w:ascii="Work Sans" w:eastAsia="Work Sans" w:hAnsi="Work Sans" w:cs="Work Sans"/>
        </w:rPr>
      </w:pPr>
      <w:r w:rsidRPr="00E534B3">
        <w:rPr>
          <w:rFonts w:ascii="Work Sans" w:eastAsia="Work Sans" w:hAnsi="Work Sans" w:cs="Work Sans"/>
        </w:rPr>
        <w:lastRenderedPageBreak/>
        <w:t>En el presente caso, la expedición tardía del Registro Presupuestal, originada en un error involuntario, constituye un vicio de naturaleza procedimental plenamente susceptible de saneamiento, sin afectar la existencia, validez ni continuidad de la relación contractual.</w:t>
      </w:r>
    </w:p>
    <w:p w:rsidR="004D0A7F" w:rsidRDefault="004D0A7F">
      <w:pPr>
        <w:spacing w:before="280" w:after="280"/>
        <w:jc w:val="both"/>
        <w:rPr>
          <w:rFonts w:ascii="Work Sans" w:eastAsia="Work Sans" w:hAnsi="Work Sans" w:cs="Work Sans"/>
        </w:rPr>
      </w:pPr>
    </w:p>
    <w:p w:rsidR="004D0A7F" w:rsidRDefault="004F0EEA">
      <w:pPr>
        <w:spacing w:before="280" w:after="280"/>
        <w:jc w:val="both"/>
        <w:rPr>
          <w:rFonts w:ascii="Work Sans" w:eastAsia="Work Sans" w:hAnsi="Work Sans" w:cs="Work Sans"/>
        </w:rPr>
      </w:pPr>
      <w:r>
        <w:rPr>
          <w:rFonts w:ascii="Work Sans" w:eastAsia="Work Sans" w:hAnsi="Work Sans" w:cs="Work Sans"/>
        </w:rPr>
        <w:t>Cordialmente,</w:t>
      </w:r>
    </w:p>
    <w:p w:rsidR="004D0A7F" w:rsidRDefault="004D0A7F">
      <w:pPr>
        <w:ind w:right="51"/>
        <w:jc w:val="both"/>
        <w:rPr>
          <w:rFonts w:ascii="Work Sans" w:eastAsia="Work Sans" w:hAnsi="Work Sans" w:cs="Work Sans"/>
          <w:highlight w:val="yellow"/>
        </w:rPr>
      </w:pPr>
    </w:p>
    <w:tbl>
      <w:tblPr>
        <w:tblStyle w:val="a"/>
        <w:tblW w:w="8790" w:type="dxa"/>
        <w:tblInd w:w="39" w:type="dxa"/>
        <w:tblLayout w:type="fixed"/>
        <w:tblLook w:val="0400" w:firstRow="0" w:lastRow="0" w:firstColumn="0" w:lastColumn="0" w:noHBand="0" w:noVBand="1"/>
      </w:tblPr>
      <w:tblGrid>
        <w:gridCol w:w="4380"/>
        <w:gridCol w:w="4410"/>
      </w:tblGrid>
      <w:tr w:rsidR="004D0A7F">
        <w:tc>
          <w:tcPr>
            <w:tcW w:w="8790" w:type="dxa"/>
            <w:gridSpan w:val="2"/>
            <w:shd w:val="clear" w:color="auto" w:fill="auto"/>
          </w:tcPr>
          <w:p w:rsidR="004D0A7F" w:rsidRDefault="004F0EEA">
            <w:pPr>
              <w:rPr>
                <w:rFonts w:ascii="Work Sans" w:eastAsia="Work Sans" w:hAnsi="Work Sans" w:cs="Work Sans"/>
              </w:rPr>
            </w:pPr>
            <w:r>
              <w:rPr>
                <w:rFonts w:ascii="Work Sans" w:eastAsia="Work Sans" w:hAnsi="Work Sans" w:cs="Work Sans"/>
              </w:rPr>
              <w:t>Tabla_Firmantes</w:t>
            </w:r>
          </w:p>
        </w:tc>
      </w:tr>
      <w:tr w:rsidR="004D0A7F">
        <w:tc>
          <w:tcPr>
            <w:tcW w:w="4380" w:type="dxa"/>
            <w:shd w:val="clear" w:color="auto" w:fill="auto"/>
          </w:tcPr>
          <w:p w:rsidR="004D0A7F" w:rsidRDefault="004D0A7F">
            <w:pPr>
              <w:rPr>
                <w:rFonts w:ascii="Work Sans ExtraLight" w:eastAsia="Work Sans ExtraLight" w:hAnsi="Work Sans ExtraLight" w:cs="Work Sans ExtraLight"/>
              </w:rPr>
            </w:pPr>
          </w:p>
        </w:tc>
        <w:tc>
          <w:tcPr>
            <w:tcW w:w="4410" w:type="dxa"/>
            <w:shd w:val="clear" w:color="auto" w:fill="auto"/>
          </w:tcPr>
          <w:p w:rsidR="004D0A7F" w:rsidRDefault="004D0A7F">
            <w:pPr>
              <w:rPr>
                <w:rFonts w:ascii="Work Sans ExtraLight" w:eastAsia="Work Sans ExtraLight" w:hAnsi="Work Sans ExtraLight" w:cs="Work Sans ExtraLight"/>
              </w:rPr>
            </w:pPr>
          </w:p>
        </w:tc>
      </w:tr>
      <w:tr w:rsidR="004D0A7F">
        <w:tc>
          <w:tcPr>
            <w:tcW w:w="4380" w:type="dxa"/>
            <w:shd w:val="clear" w:color="auto" w:fill="auto"/>
          </w:tcPr>
          <w:p w:rsidR="004D0A7F" w:rsidRDefault="004D0A7F">
            <w:pPr>
              <w:rPr>
                <w:rFonts w:ascii="Work Sans ExtraLight" w:eastAsia="Work Sans ExtraLight" w:hAnsi="Work Sans ExtraLight" w:cs="Work Sans ExtraLight"/>
              </w:rPr>
            </w:pPr>
          </w:p>
        </w:tc>
        <w:tc>
          <w:tcPr>
            <w:tcW w:w="4410" w:type="dxa"/>
            <w:shd w:val="clear" w:color="auto" w:fill="auto"/>
          </w:tcPr>
          <w:p w:rsidR="004D0A7F" w:rsidRDefault="004D0A7F">
            <w:pPr>
              <w:rPr>
                <w:rFonts w:ascii="Work Sans ExtraLight" w:eastAsia="Work Sans ExtraLight" w:hAnsi="Work Sans ExtraLight" w:cs="Work Sans ExtraLight"/>
              </w:rPr>
            </w:pPr>
          </w:p>
        </w:tc>
      </w:tr>
    </w:tbl>
    <w:p w:rsidR="004D0A7F" w:rsidRDefault="004F0EEA">
      <w:pPr>
        <w:rPr>
          <w:rFonts w:ascii="Work Sans" w:eastAsia="Work Sans" w:hAnsi="Work Sans" w:cs="Work Sans"/>
          <w:sz w:val="16"/>
          <w:szCs w:val="16"/>
        </w:rPr>
      </w:pPr>
      <w:r>
        <w:rPr>
          <w:rFonts w:ascii="Work Sans" w:eastAsia="Work Sans" w:hAnsi="Work Sans" w:cs="Work Sans"/>
          <w:sz w:val="16"/>
          <w:szCs w:val="16"/>
        </w:rPr>
        <w:t>ley_texto</w:t>
      </w:r>
    </w:p>
    <w:p w:rsidR="004D0A7F" w:rsidRDefault="004F0EEA">
      <w:pPr>
        <w:rPr>
          <w:rFonts w:ascii="Work Sans" w:eastAsia="Work Sans" w:hAnsi="Work Sans" w:cs="Work Sans"/>
          <w:sz w:val="16"/>
          <w:szCs w:val="16"/>
        </w:rPr>
      </w:pPr>
      <w:r>
        <w:rPr>
          <w:rFonts w:ascii="Work Sans" w:eastAsia="Work Sans" w:hAnsi="Work Sans" w:cs="Work Sans"/>
          <w:sz w:val="16"/>
          <w:szCs w:val="16"/>
        </w:rPr>
        <w:t>rad_padre</w:t>
      </w:r>
    </w:p>
    <w:p w:rsidR="004D0A7F" w:rsidRDefault="004F0EEA">
      <w:pPr>
        <w:rPr>
          <w:rFonts w:ascii="Work Sans" w:eastAsia="Work Sans" w:hAnsi="Work Sans" w:cs="Work Sans"/>
          <w:sz w:val="16"/>
          <w:szCs w:val="16"/>
        </w:rPr>
      </w:pPr>
      <w:r>
        <w:rPr>
          <w:rFonts w:ascii="Work Sans" w:eastAsia="Work Sans" w:hAnsi="Work Sans" w:cs="Work Sans"/>
          <w:sz w:val="16"/>
          <w:szCs w:val="16"/>
        </w:rPr>
        <w:t>anexo_r</w:t>
      </w:r>
    </w:p>
    <w:p w:rsidR="004D0A7F" w:rsidRDefault="004F0EEA">
      <w:pPr>
        <w:rPr>
          <w:rFonts w:ascii="Work Sans" w:eastAsia="Work Sans" w:hAnsi="Work Sans" w:cs="Work Sans"/>
          <w:sz w:val="16"/>
          <w:szCs w:val="16"/>
        </w:rPr>
      </w:pPr>
      <w:r>
        <w:rPr>
          <w:rFonts w:ascii="Work Sans" w:eastAsia="Work Sans" w:hAnsi="Work Sans" w:cs="Work Sans"/>
          <w:sz w:val="16"/>
          <w:szCs w:val="16"/>
        </w:rPr>
        <w:t xml:space="preserve">copias_r </w:t>
      </w:r>
    </w:p>
    <w:p w:rsidR="004D0A7F" w:rsidRDefault="004F0EEA">
      <w:r>
        <w:rPr>
          <w:rFonts w:ascii="Work Sans" w:eastAsia="Work Sans" w:hAnsi="Work Sans" w:cs="Work Sans"/>
          <w:sz w:val="16"/>
          <w:szCs w:val="16"/>
        </w:rPr>
        <w:t>Elaboró: res_proyecto</w:t>
      </w:r>
      <w:r>
        <w:rPr>
          <w:rFonts w:ascii="Work Sans" w:eastAsia="Work Sans" w:hAnsi="Work Sans" w:cs="Work Sans"/>
          <w:sz w:val="16"/>
          <w:szCs w:val="16"/>
        </w:rPr>
        <w:br/>
        <w:t>Reviso: res_reviso</w:t>
      </w:r>
      <w:r>
        <w:rPr>
          <w:rFonts w:ascii="Work Sans" w:eastAsia="Work Sans" w:hAnsi="Work Sans" w:cs="Work Sans"/>
          <w:sz w:val="16"/>
          <w:szCs w:val="16"/>
        </w:rPr>
        <w:br/>
        <w:t>Aprobó: res_aprobacion</w:t>
      </w:r>
    </w:p>
    <w:sectPr w:rsidR="004D0A7F">
      <w:headerReference w:type="default" r:id="rId8"/>
      <w:footerReference w:type="default" r:id="rId9"/>
      <w:pgSz w:w="12240" w:h="15840"/>
      <w:pgMar w:top="1991" w:right="1418" w:bottom="1588" w:left="1418" w:header="573" w:footer="15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0EEA" w:rsidRDefault="004F0EEA">
      <w:r>
        <w:separator/>
      </w:r>
    </w:p>
  </w:endnote>
  <w:endnote w:type="continuationSeparator" w:id="0">
    <w:p w:rsidR="004F0EEA" w:rsidRDefault="004F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ork Sans">
    <w:altName w:val="Calibri"/>
    <w:panose1 w:val="020B0604020202020204"/>
    <w:charset w:val="00"/>
    <w:family w:val="auto"/>
    <w:pitch w:val="default"/>
  </w:font>
  <w:font w:name="Noto Sans Symbols">
    <w:altName w:val="Calibri"/>
    <w:panose1 w:val="020B0502040504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Bitstream Vera Sans">
    <w:panose1 w:val="020B0604020202020204"/>
    <w:charset w:val="00"/>
    <w:family w:val="roman"/>
    <w:notTrueType/>
    <w:pitch w:val="default"/>
  </w:font>
  <w:font w:name="FreeSans">
    <w:altName w:val="Cambria"/>
    <w:panose1 w:val="020B05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ork Sans ExtraLight">
    <w:altName w:val="Times New Roman"/>
    <w:panose1 w:val="020B0604020202020204"/>
    <w:charset w:val="00"/>
    <w:family w:val="auto"/>
    <w:pitch w:val="default"/>
  </w:font>
  <w:font w:name="Free 3 of 9">
    <w:altName w:val="Calibri"/>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A7F" w:rsidRDefault="004D0A7F">
    <w:pPr>
      <w:pBdr>
        <w:top w:val="nil"/>
        <w:left w:val="nil"/>
        <w:bottom w:val="nil"/>
        <w:right w:val="nil"/>
        <w:between w:val="nil"/>
      </w:pBdr>
      <w:tabs>
        <w:tab w:val="center" w:pos="4419"/>
        <w:tab w:val="right" w:pos="8838"/>
      </w:tabs>
      <w:rPr>
        <w:color w:val="000000"/>
      </w:rPr>
    </w:pPr>
  </w:p>
  <w:p w:rsidR="004D0A7F" w:rsidRDefault="004F0EEA">
    <w:pPr>
      <w:pBdr>
        <w:top w:val="nil"/>
        <w:left w:val="nil"/>
        <w:bottom w:val="nil"/>
        <w:right w:val="nil"/>
        <w:between w:val="nil"/>
      </w:pBdr>
      <w:tabs>
        <w:tab w:val="center" w:pos="4419"/>
        <w:tab w:val="right" w:pos="8838"/>
      </w:tabs>
      <w:rPr>
        <w:color w:val="000000"/>
      </w:rPr>
    </w:pPr>
    <w:r>
      <w:rPr>
        <w:noProof/>
      </w:rPr>
      <w:drawing>
        <wp:anchor distT="0" distB="0" distL="114300" distR="114300" simplePos="0" relativeHeight="251659264" behindDoc="0" locked="0" layoutInCell="1" hidden="0" allowOverlap="1">
          <wp:simplePos x="0" y="0"/>
          <wp:positionH relativeFrom="column">
            <wp:posOffset>1</wp:posOffset>
          </wp:positionH>
          <wp:positionV relativeFrom="paragraph">
            <wp:posOffset>123825</wp:posOffset>
          </wp:positionV>
          <wp:extent cx="5143500" cy="800100"/>
          <wp:effectExtent l="0" t="0" r="0" b="0"/>
          <wp:wrapSquare wrapText="bothSides" distT="0" distB="0" distL="114300" distR="114300"/>
          <wp:docPr id="206720865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143500" cy="80010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0EEA" w:rsidRDefault="004F0EEA">
      <w:r>
        <w:separator/>
      </w:r>
    </w:p>
  </w:footnote>
  <w:footnote w:type="continuationSeparator" w:id="0">
    <w:p w:rsidR="004F0EEA" w:rsidRDefault="004F0EEA">
      <w:r>
        <w:continuationSeparator/>
      </w:r>
    </w:p>
  </w:footnote>
  <w:footnote w:id="1">
    <w:p w:rsidR="004D0A7F" w:rsidRDefault="004F0EEA">
      <w:pPr>
        <w:pBdr>
          <w:top w:val="nil"/>
          <w:left w:val="nil"/>
          <w:bottom w:val="nil"/>
          <w:right w:val="nil"/>
          <w:between w:val="nil"/>
        </w:pBdr>
        <w:jc w:val="both"/>
        <w:rPr>
          <w:color w:val="000000"/>
          <w:sz w:val="16"/>
          <w:szCs w:val="16"/>
        </w:rPr>
      </w:pPr>
      <w:r>
        <w:rPr>
          <w:vertAlign w:val="superscript"/>
        </w:rPr>
        <w:footnoteRef/>
      </w:r>
      <w:r>
        <w:rPr>
          <w:color w:val="000000"/>
        </w:rPr>
        <w:t xml:space="preserve"> </w:t>
      </w:r>
      <w:r>
        <w:rPr>
          <w:b/>
          <w:bCs/>
          <w:color w:val="000000"/>
          <w:sz w:val="16"/>
          <w:szCs w:val="16"/>
        </w:rPr>
        <w:t>Consejo de Estado, Sección Tercera, Rad. 05001-23-31-000-2000-10140-01, Sentencia del 28 de septiembre de 2006.</w:t>
      </w:r>
      <w:r>
        <w:rPr>
          <w:color w:val="000000"/>
          <w:sz w:val="16"/>
          <w:szCs w:val="16"/>
        </w:rPr>
        <w:br/>
        <w:t>La Sala afirmó que el registro presupuestal no constituye un requisito de perfeccionamiento del contrato estatal, sino un presupuesto para su ej</w:t>
      </w:r>
      <w:r>
        <w:rPr>
          <w:color w:val="000000"/>
          <w:sz w:val="16"/>
          <w:szCs w:val="16"/>
        </w:rPr>
        <w:t>ecución. Señaló que el contrato es perfecto cuando existe acuerdo sobre el objeto y la contraprestación y se eleva a escrito, independientemente de formalidades posteriores como el RP.</w:t>
      </w:r>
    </w:p>
    <w:p w:rsidR="004D0A7F" w:rsidRDefault="004F0EEA">
      <w:pPr>
        <w:jc w:val="both"/>
        <w:rPr>
          <w:sz w:val="16"/>
          <w:szCs w:val="16"/>
        </w:rPr>
      </w:pPr>
      <w:r>
        <w:rPr>
          <w:sz w:val="16"/>
          <w:szCs w:val="16"/>
        </w:rPr>
        <w:t xml:space="preserve">² </w:t>
      </w:r>
      <w:r>
        <w:rPr>
          <w:b/>
          <w:bCs/>
          <w:sz w:val="16"/>
          <w:szCs w:val="16"/>
        </w:rPr>
        <w:t>Consejo de Estado, Sección Tercera, Rad. 05001-23-31-000-1998-01350-01, Sentencia del 23 de junio de 2010.</w:t>
      </w:r>
      <w:r>
        <w:rPr>
          <w:sz w:val="16"/>
          <w:szCs w:val="16"/>
        </w:rPr>
        <w:br/>
        <w:t>En esta decisión, la Corporación reiteró que el registro presupuestal es una condición para la ejecución del contrato, no para su existencia o perfec</w:t>
      </w:r>
      <w:r>
        <w:rPr>
          <w:sz w:val="16"/>
          <w:szCs w:val="16"/>
        </w:rPr>
        <w:t>cionamiento. El contrato se entiende perfeccionado al cumplirse los elementos esenciales establecidos por la Ley 80 de 1993.</w:t>
      </w:r>
    </w:p>
    <w:p w:rsidR="004D0A7F" w:rsidRDefault="004F0EEA">
      <w:pPr>
        <w:jc w:val="both"/>
        <w:rPr>
          <w:sz w:val="16"/>
          <w:szCs w:val="16"/>
        </w:rPr>
      </w:pPr>
      <w:r>
        <w:rPr>
          <w:sz w:val="16"/>
          <w:szCs w:val="16"/>
        </w:rPr>
        <w:t>Consejo</w:t>
      </w:r>
      <w:r>
        <w:rPr>
          <w:b/>
          <w:bCs/>
          <w:sz w:val="16"/>
          <w:szCs w:val="16"/>
        </w:rPr>
        <w:t xml:space="preserve"> de Estado, Sección Tercera, Rad. 05001-23-31-000-1998-01350-01, Sentencia del 22 de abril de 2009.</w:t>
      </w:r>
      <w:r>
        <w:rPr>
          <w:sz w:val="16"/>
          <w:szCs w:val="16"/>
        </w:rPr>
        <w:br/>
        <w:t xml:space="preserve">La Sala reafirmó que el </w:t>
      </w:r>
      <w:r>
        <w:rPr>
          <w:sz w:val="16"/>
          <w:szCs w:val="16"/>
        </w:rPr>
        <w:t>registro presupuestal no es un requisito de existencia ni de perfeccionamiento del contrato estatal. Su omisión o expedición tardía afecta la ejecución, mas no la validez del contrato, reafirmando así la separación conceptual entre perfeccionamiento y ejec</w:t>
      </w:r>
      <w:r>
        <w:rPr>
          <w:sz w:val="16"/>
          <w:szCs w:val="16"/>
        </w:rPr>
        <w:t>ución.</w:t>
      </w:r>
    </w:p>
    <w:p w:rsidR="004D0A7F" w:rsidRDefault="004F0EEA">
      <w:pPr>
        <w:pBdr>
          <w:top w:val="nil"/>
          <w:left w:val="nil"/>
          <w:bottom w:val="nil"/>
          <w:right w:val="nil"/>
          <w:between w:val="nil"/>
        </w:pBdr>
        <w:jc w:val="both"/>
        <w:rPr>
          <w:color w:val="000000"/>
          <w:sz w:val="16"/>
          <w:szCs w:val="16"/>
        </w:rPr>
      </w:pPr>
      <w:r>
        <w:rPr>
          <w:sz w:val="16"/>
          <w:szCs w:val="16"/>
        </w:rPr>
        <w:t>, Consejo</w:t>
      </w:r>
      <w:r>
        <w:rPr>
          <w:b/>
          <w:bCs/>
          <w:color w:val="000000"/>
          <w:sz w:val="16"/>
          <w:szCs w:val="16"/>
        </w:rPr>
        <w:t xml:space="preserve"> de Estado, Sección Tercera, Rad. 25000-23-26-000-2003-01686-01, Sentencia del 22 de abril de 2009.</w:t>
      </w:r>
      <w:r>
        <w:rPr>
          <w:color w:val="000000"/>
          <w:sz w:val="16"/>
          <w:szCs w:val="16"/>
        </w:rPr>
        <w:br/>
        <w:t>La Corporación precisó que la reforma introducida por la Ley 1150 de 2007 confirmó que el registro presupuestal es un requisito exclusivo pa</w:t>
      </w:r>
      <w:r>
        <w:rPr>
          <w:color w:val="000000"/>
          <w:sz w:val="16"/>
          <w:szCs w:val="16"/>
        </w:rPr>
        <w:t>ra la ejecución del contrato estatal, en armonía con el artículo 41 de la Ley 80 de 1993.</w:t>
      </w:r>
    </w:p>
    <w:p w:rsidR="004D0A7F" w:rsidRDefault="004F0EEA">
      <w:pPr>
        <w:pBdr>
          <w:top w:val="nil"/>
          <w:left w:val="nil"/>
          <w:bottom w:val="nil"/>
          <w:right w:val="nil"/>
          <w:between w:val="nil"/>
        </w:pBdr>
        <w:jc w:val="both"/>
        <w:rPr>
          <w:rFonts w:ascii="Arial" w:eastAsia="Arial" w:hAnsi="Arial" w:cs="Arial"/>
          <w:color w:val="000000"/>
          <w:sz w:val="16"/>
          <w:szCs w:val="16"/>
        </w:rPr>
      </w:pPr>
      <w:r>
        <w:rPr>
          <w:rFonts w:ascii="Arial" w:eastAsia="Arial" w:hAnsi="Arial" w:cs="Arial"/>
          <w:b/>
          <w:bCs/>
          <w:color w:val="000000"/>
          <w:sz w:val="16"/>
          <w:szCs w:val="16"/>
        </w:rPr>
        <w:t>⁵</w:t>
      </w:r>
      <w:r>
        <w:rPr>
          <w:rFonts w:ascii="Arial" w:eastAsia="Arial" w:hAnsi="Arial" w:cs="Arial"/>
          <w:b/>
          <w:bCs/>
          <w:color w:val="000000"/>
          <w:sz w:val="16"/>
          <w:szCs w:val="16"/>
        </w:rPr>
        <w:t xml:space="preserve"> Consejo de Estado, Sección Tercera, Rad. 05001-23-31-000-2009-01256-01, Sentencia del 28 de septiembre de 2006.</w:t>
      </w:r>
      <w:r>
        <w:rPr>
          <w:rFonts w:ascii="Arial" w:eastAsia="Arial" w:hAnsi="Arial" w:cs="Arial"/>
          <w:b/>
          <w:bCs/>
          <w:color w:val="000000"/>
          <w:sz w:val="16"/>
          <w:szCs w:val="16"/>
        </w:rPr>
        <w:br/>
      </w:r>
      <w:r>
        <w:rPr>
          <w:rFonts w:ascii="Arial" w:eastAsia="Arial" w:hAnsi="Arial" w:cs="Arial"/>
          <w:color w:val="000000"/>
          <w:sz w:val="16"/>
          <w:szCs w:val="16"/>
        </w:rPr>
        <w:t>La Sala reiteró que el registro presupuestal constit</w:t>
      </w:r>
      <w:r>
        <w:rPr>
          <w:rFonts w:ascii="Arial" w:eastAsia="Arial" w:hAnsi="Arial" w:cs="Arial"/>
          <w:color w:val="000000"/>
          <w:sz w:val="16"/>
          <w:szCs w:val="16"/>
        </w:rPr>
        <w:t>uye una formalidad de ejecución y no de perfeccionamiento del contrato, el cual se entiende perfeccionado al cumplir las exigencias previstas en la Ley 80 de 1993.</w:t>
      </w:r>
    </w:p>
    <w:p w:rsidR="004D0A7F" w:rsidRDefault="004D0A7F">
      <w:pPr>
        <w:pBdr>
          <w:top w:val="nil"/>
          <w:left w:val="nil"/>
          <w:bottom w:val="nil"/>
          <w:right w:val="nil"/>
          <w:between w:val="nil"/>
        </w:pBdr>
        <w:jc w:val="both"/>
        <w:rPr>
          <w:rFonts w:ascii="Arial" w:eastAsia="Arial" w:hAnsi="Arial" w:cs="Arial"/>
          <w:color w:val="000000"/>
          <w:sz w:val="16"/>
          <w:szCs w:val="16"/>
        </w:rPr>
      </w:pPr>
    </w:p>
  </w:footnote>
  <w:footnote w:id="2">
    <w:p w:rsidR="004D0A7F" w:rsidRDefault="004F0EEA">
      <w:pPr>
        <w:jc w:val="both"/>
        <w:rPr>
          <w:rFonts w:ascii="Arial" w:eastAsia="Arial" w:hAnsi="Arial" w:cs="Arial"/>
          <w:sz w:val="16"/>
          <w:szCs w:val="16"/>
        </w:rPr>
      </w:pPr>
      <w:r>
        <w:rPr>
          <w:vertAlign w:val="superscript"/>
        </w:rPr>
        <w:footnoteRef/>
      </w:r>
      <w:r>
        <w:rPr>
          <w:rFonts w:ascii="Arial" w:eastAsia="Arial" w:hAnsi="Arial" w:cs="Arial"/>
          <w:sz w:val="16"/>
          <w:szCs w:val="16"/>
        </w:rPr>
        <w:t xml:space="preserve"> </w:t>
      </w:r>
      <w:r>
        <w:rPr>
          <w:rFonts w:ascii="Arial" w:eastAsia="Arial" w:hAnsi="Arial" w:cs="Arial"/>
          <w:sz w:val="16"/>
          <w:szCs w:val="16"/>
        </w:rPr>
        <w:t>Safar, M. (2020). El papel del registro presupuestal en los contratos estatales. En J. L.</w:t>
      </w:r>
      <w:r>
        <w:rPr>
          <w:rFonts w:ascii="Arial" w:eastAsia="Arial" w:hAnsi="Arial" w:cs="Arial"/>
          <w:sz w:val="16"/>
          <w:szCs w:val="16"/>
        </w:rPr>
        <w:t xml:space="preserve"> Benavides (Ed.), Fallos referentes en contratación estatal. Universidad Externado de Colombia</w:t>
      </w:r>
    </w:p>
    <w:p w:rsidR="004D0A7F" w:rsidRDefault="004D0A7F">
      <w:pPr>
        <w:pBdr>
          <w:top w:val="nil"/>
          <w:left w:val="nil"/>
          <w:bottom w:val="nil"/>
          <w:right w:val="nil"/>
          <w:between w:val="nil"/>
        </w:pBdr>
        <w:rPr>
          <w:color w:val="000000"/>
          <w:sz w:val="20"/>
          <w:szCs w:val="20"/>
        </w:rPr>
      </w:pPr>
    </w:p>
  </w:footnote>
  <w:footnote w:id="3">
    <w:p w:rsidR="004D0A7F" w:rsidRDefault="004F0EEA">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color w:val="000000"/>
          <w:sz w:val="20"/>
          <w:szCs w:val="20"/>
        </w:rPr>
        <w:t>Consejo de Estado, Sala de lo Contencioso Administrativo, Sección Tercera, Subsección B, Exp. 11001-03-26-000-2010-00062-00 (39495)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A7F" w:rsidRDefault="004F0EEA">
    <w:pPr>
      <w:pBdr>
        <w:top w:val="nil"/>
        <w:left w:val="nil"/>
        <w:bottom w:val="nil"/>
        <w:right w:val="nil"/>
        <w:between w:val="nil"/>
      </w:pBdr>
      <w:tabs>
        <w:tab w:val="center" w:pos="4419"/>
        <w:tab w:val="right" w:pos="8838"/>
      </w:tabs>
      <w:jc w:val="right"/>
      <w:rPr>
        <w:color w:val="000000"/>
      </w:rPr>
    </w:pPr>
    <w:r>
      <w:rPr>
        <w:noProof/>
      </w:rPr>
      <w:drawing>
        <wp:anchor distT="0" distB="0" distL="114300" distR="114300" simplePos="0" relativeHeight="251658240" behindDoc="0" locked="0" layoutInCell="1" hidden="0" allowOverlap="1">
          <wp:simplePos x="0" y="0"/>
          <wp:positionH relativeFrom="column">
            <wp:posOffset>2648267</wp:posOffset>
          </wp:positionH>
          <wp:positionV relativeFrom="paragraph">
            <wp:posOffset>83820</wp:posOffset>
          </wp:positionV>
          <wp:extent cx="675005" cy="587375"/>
          <wp:effectExtent l="0" t="0" r="0" b="0"/>
          <wp:wrapSquare wrapText="bothSides" distT="0" distB="0" distL="114300" distR="114300"/>
          <wp:docPr id="2067208658"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675005" cy="587375"/>
                  </a:xfrm>
                  <a:prstGeom prst="rect">
                    <a:avLst/>
                  </a:prstGeom>
                  <a:ln/>
                </pic:spPr>
              </pic:pic>
            </a:graphicData>
          </a:graphic>
        </wp:anchor>
      </w:drawing>
    </w:r>
  </w:p>
  <w:p w:rsidR="004D0A7F" w:rsidRDefault="004F0EEA">
    <w:pPr>
      <w:pBdr>
        <w:top w:val="nil"/>
        <w:left w:val="nil"/>
        <w:bottom w:val="nil"/>
        <w:right w:val="nil"/>
        <w:between w:val="nil"/>
      </w:pBdr>
      <w:tabs>
        <w:tab w:val="center" w:pos="4419"/>
        <w:tab w:val="right" w:pos="8838"/>
        <w:tab w:val="left" w:pos="2775"/>
      </w:tabs>
      <w:rPr>
        <w:color w:val="000000"/>
      </w:rPr>
    </w:pPr>
    <w:r>
      <w:rPr>
        <w:color w:val="000000"/>
      </w:rPr>
      <w:t xml:space="preserve">               </w:t>
    </w:r>
    <w:r>
      <w:rPr>
        <w:color w:val="000000"/>
      </w:rPr>
      <w:tab/>
      <w:t xml:space="preserve">                       </w:t>
    </w:r>
    <w:r>
      <w:rPr>
        <w:color w:val="000000"/>
      </w:rPr>
      <w:tab/>
    </w:r>
  </w:p>
  <w:p w:rsidR="004D0A7F" w:rsidRDefault="004D0A7F">
    <w:pPr>
      <w:pBdr>
        <w:top w:val="nil"/>
        <w:left w:val="nil"/>
        <w:bottom w:val="nil"/>
        <w:right w:val="nil"/>
        <w:between w:val="nil"/>
      </w:pBdr>
      <w:tabs>
        <w:tab w:val="center" w:pos="4419"/>
        <w:tab w:val="right" w:pos="8838"/>
      </w:tabs>
      <w:jc w:val="right"/>
      <w:rPr>
        <w:rFonts w:ascii="Work Sans" w:eastAsia="Work Sans" w:hAnsi="Work Sans" w:cs="Work Sans"/>
        <w:color w:val="000000"/>
        <w:sz w:val="18"/>
        <w:szCs w:val="18"/>
      </w:rPr>
    </w:pPr>
  </w:p>
  <w:p w:rsidR="004D0A7F" w:rsidRDefault="004D0A7F">
    <w:pPr>
      <w:pBdr>
        <w:top w:val="nil"/>
        <w:left w:val="nil"/>
        <w:bottom w:val="nil"/>
        <w:right w:val="nil"/>
        <w:between w:val="nil"/>
      </w:pBdr>
      <w:tabs>
        <w:tab w:val="center" w:pos="4419"/>
        <w:tab w:val="right" w:pos="8838"/>
      </w:tabs>
      <w:jc w:val="right"/>
      <w:rPr>
        <w:rFonts w:ascii="Work Sans" w:eastAsia="Work Sans" w:hAnsi="Work Sans" w:cs="Work Sans"/>
        <w:color w:val="000000"/>
        <w:sz w:val="18"/>
        <w:szCs w:val="18"/>
      </w:rPr>
    </w:pPr>
  </w:p>
  <w:p w:rsidR="004D0A7F" w:rsidRDefault="004D0A7F">
    <w:pPr>
      <w:pBdr>
        <w:top w:val="nil"/>
        <w:left w:val="nil"/>
        <w:bottom w:val="nil"/>
        <w:right w:val="nil"/>
        <w:between w:val="nil"/>
      </w:pBdr>
      <w:tabs>
        <w:tab w:val="center" w:pos="4419"/>
        <w:tab w:val="right" w:pos="8838"/>
      </w:tabs>
      <w:jc w:val="right"/>
      <w:rPr>
        <w:rFonts w:ascii="Work Sans" w:eastAsia="Work Sans" w:hAnsi="Work Sans" w:cs="Work Sans"/>
        <w:color w:val="000000"/>
        <w:sz w:val="18"/>
        <w:szCs w:val="18"/>
      </w:rPr>
    </w:pPr>
  </w:p>
  <w:p w:rsidR="004D0A7F" w:rsidRDefault="004F0EEA">
    <w:pPr>
      <w:pBdr>
        <w:top w:val="nil"/>
        <w:left w:val="nil"/>
        <w:bottom w:val="nil"/>
        <w:right w:val="nil"/>
        <w:between w:val="nil"/>
      </w:pBdr>
      <w:tabs>
        <w:tab w:val="center" w:pos="4419"/>
        <w:tab w:val="right" w:pos="8838"/>
      </w:tabs>
      <w:jc w:val="right"/>
      <w:rPr>
        <w:color w:val="000000"/>
      </w:rPr>
    </w:pPr>
    <w:r>
      <w:rPr>
        <w:rFonts w:ascii="Work Sans" w:eastAsia="Work Sans" w:hAnsi="Work Sans" w:cs="Work Sans"/>
        <w:color w:val="000000"/>
        <w:sz w:val="18"/>
        <w:szCs w:val="18"/>
      </w:rPr>
      <w:t xml:space="preserve">Página </w:t>
    </w:r>
    <w:r>
      <w:rPr>
        <w:rFonts w:ascii="Work Sans" w:eastAsia="Work Sans" w:hAnsi="Work Sans" w:cs="Work Sans"/>
        <w:b/>
        <w:bCs/>
        <w:color w:val="000000"/>
        <w:sz w:val="18"/>
        <w:szCs w:val="18"/>
      </w:rPr>
      <w:fldChar w:fldCharType="begin"/>
    </w:r>
    <w:r>
      <w:rPr>
        <w:rFonts w:ascii="Work Sans" w:eastAsia="Work Sans" w:hAnsi="Work Sans" w:cs="Work Sans"/>
        <w:b/>
        <w:bCs/>
        <w:color w:val="000000"/>
        <w:sz w:val="18"/>
        <w:szCs w:val="18"/>
      </w:rPr>
      <w:instrText>PAGE</w:instrText>
    </w:r>
    <w:r w:rsidR="002C6B1A">
      <w:rPr>
        <w:rFonts w:ascii="Work Sans" w:eastAsia="Work Sans" w:hAnsi="Work Sans" w:cs="Work Sans"/>
        <w:b/>
        <w:bCs/>
        <w:color w:val="000000"/>
        <w:sz w:val="18"/>
        <w:szCs w:val="18"/>
      </w:rPr>
      <w:fldChar w:fldCharType="separate"/>
    </w:r>
    <w:r w:rsidR="002C6B1A">
      <w:rPr>
        <w:rFonts w:ascii="Work Sans" w:eastAsia="Work Sans" w:hAnsi="Work Sans" w:cs="Work Sans"/>
        <w:b/>
        <w:bCs/>
        <w:noProof/>
        <w:color w:val="000000"/>
        <w:sz w:val="18"/>
        <w:szCs w:val="18"/>
      </w:rPr>
      <w:t>1</w:t>
    </w:r>
    <w:r>
      <w:rPr>
        <w:rFonts w:ascii="Work Sans" w:eastAsia="Work Sans" w:hAnsi="Work Sans" w:cs="Work Sans"/>
        <w:b/>
        <w:bCs/>
        <w:color w:val="000000"/>
        <w:sz w:val="18"/>
        <w:szCs w:val="18"/>
      </w:rPr>
      <w:fldChar w:fldCharType="end"/>
    </w:r>
    <w:r>
      <w:rPr>
        <w:rFonts w:ascii="Work Sans" w:eastAsia="Work Sans" w:hAnsi="Work Sans" w:cs="Work Sans"/>
        <w:color w:val="000000"/>
        <w:sz w:val="18"/>
        <w:szCs w:val="18"/>
      </w:rPr>
      <w:t xml:space="preserve"> de </w:t>
    </w:r>
    <w:r>
      <w:rPr>
        <w:rFonts w:ascii="Work Sans" w:eastAsia="Work Sans" w:hAnsi="Work Sans" w:cs="Work Sans"/>
        <w:b/>
        <w:bCs/>
        <w:color w:val="000000"/>
        <w:sz w:val="18"/>
        <w:szCs w:val="18"/>
      </w:rPr>
      <w:fldChar w:fldCharType="begin"/>
    </w:r>
    <w:r>
      <w:rPr>
        <w:rFonts w:ascii="Work Sans" w:eastAsia="Work Sans" w:hAnsi="Work Sans" w:cs="Work Sans"/>
        <w:b/>
        <w:bCs/>
        <w:color w:val="000000"/>
        <w:sz w:val="18"/>
        <w:szCs w:val="18"/>
      </w:rPr>
      <w:instrText>NUMPAGES</w:instrText>
    </w:r>
    <w:r w:rsidR="002C6B1A">
      <w:rPr>
        <w:rFonts w:ascii="Work Sans" w:eastAsia="Work Sans" w:hAnsi="Work Sans" w:cs="Work Sans"/>
        <w:b/>
        <w:bCs/>
        <w:color w:val="000000"/>
        <w:sz w:val="18"/>
        <w:szCs w:val="18"/>
      </w:rPr>
      <w:fldChar w:fldCharType="separate"/>
    </w:r>
    <w:r w:rsidR="002C6B1A">
      <w:rPr>
        <w:rFonts w:ascii="Work Sans" w:eastAsia="Work Sans" w:hAnsi="Work Sans" w:cs="Work Sans"/>
        <w:b/>
        <w:bCs/>
        <w:noProof/>
        <w:color w:val="000000"/>
        <w:sz w:val="18"/>
        <w:szCs w:val="18"/>
      </w:rPr>
      <w:t>1</w:t>
    </w:r>
    <w:r>
      <w:rPr>
        <w:rFonts w:ascii="Work Sans" w:eastAsia="Work Sans" w:hAnsi="Work Sans" w:cs="Work Sans"/>
        <w:b/>
        <w:bCs/>
        <w:color w:val="000000"/>
        <w:sz w:val="18"/>
        <w:szCs w:val="18"/>
      </w:rPr>
      <w:fldChar w:fldCharType="end"/>
    </w:r>
    <w:r>
      <w:rPr>
        <w:rFonts w:ascii="Arial" w:eastAsia="Arial" w:hAnsi="Arial" w:cs="Arial"/>
        <w:color w:val="000000"/>
        <w:sz w:val="32"/>
        <w:szCs w:val="32"/>
      </w:rPr>
      <w:br/>
    </w:r>
    <w:r>
      <w:rPr>
        <w:rFonts w:ascii="Free 3 of 9" w:eastAsia="Free 3 of 9" w:hAnsi="Free 3 of 9" w:cs="Free 3 of 9"/>
        <w:color w:val="000000"/>
        <w:sz w:val="36"/>
        <w:szCs w:val="36"/>
      </w:rPr>
      <w:t>RAD_BARRAS</w:t>
    </w:r>
  </w:p>
  <w:p w:rsidR="004D0A7F" w:rsidRDefault="004F0EEA">
    <w:pPr>
      <w:tabs>
        <w:tab w:val="left" w:pos="1485"/>
      </w:tabs>
      <w:jc w:val="right"/>
      <w:rPr>
        <w:rFonts w:ascii="Work Sans" w:eastAsia="Work Sans" w:hAnsi="Work Sans" w:cs="Work Sans"/>
        <w:sz w:val="18"/>
        <w:szCs w:val="18"/>
      </w:rPr>
    </w:pPr>
    <w:r>
      <w:rPr>
        <w:rFonts w:ascii="Work Sans" w:eastAsia="Work Sans" w:hAnsi="Work Sans" w:cs="Work Sans"/>
        <w:sz w:val="18"/>
        <w:szCs w:val="18"/>
      </w:rPr>
      <w:t>Radicado No.: rad_s</w:t>
    </w:r>
  </w:p>
  <w:p w:rsidR="004D0A7F" w:rsidRDefault="004F0EEA">
    <w:pPr>
      <w:tabs>
        <w:tab w:val="left" w:pos="1354"/>
        <w:tab w:val="left" w:pos="1485"/>
        <w:tab w:val="right" w:pos="9404"/>
      </w:tabs>
      <w:jc w:val="right"/>
      <w:rPr>
        <w:rFonts w:ascii="Arial" w:eastAsia="Arial" w:hAnsi="Arial" w:cs="Arial"/>
        <w:sz w:val="16"/>
        <w:szCs w:val="16"/>
      </w:rPr>
    </w:pPr>
    <w:r>
      <w:rPr>
        <w:rFonts w:ascii="Arial" w:eastAsia="Arial" w:hAnsi="Arial" w:cs="Arial"/>
        <w:b/>
        <w:bCs/>
        <w:sz w:val="14"/>
        <w:szCs w:val="14"/>
      </w:rPr>
      <w:tab/>
    </w:r>
    <w:r>
      <w:rPr>
        <w:rFonts w:ascii="Arial" w:eastAsia="Arial" w:hAnsi="Arial" w:cs="Arial"/>
        <w:b/>
        <w:bCs/>
        <w:sz w:val="14"/>
        <w:szCs w:val="14"/>
      </w:rPr>
      <w:tab/>
    </w:r>
    <w:r>
      <w:rPr>
        <w:rFonts w:ascii="Arial" w:eastAsia="Arial" w:hAnsi="Arial" w:cs="Arial"/>
        <w:b/>
        <w:bCs/>
        <w:sz w:val="14"/>
        <w:szCs w:val="14"/>
      </w:rPr>
      <w:tab/>
    </w:r>
    <w:r>
      <w:rPr>
        <w:rFonts w:ascii="Work Sans" w:eastAsia="Work Sans" w:hAnsi="Work Sans" w:cs="Work Sans"/>
        <w:sz w:val="18"/>
        <w:szCs w:val="18"/>
      </w:rPr>
      <w:t>Fecha: fecha_r</w:t>
    </w:r>
  </w:p>
  <w:p w:rsidR="004D0A7F" w:rsidRDefault="004D0A7F">
    <w:pPr>
      <w:tabs>
        <w:tab w:val="left" w:pos="1485"/>
      </w:tabs>
      <w:jc w:val="right"/>
      <w:rPr>
        <w:rFonts w:ascii="Arial" w:eastAsia="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E342F"/>
    <w:multiLevelType w:val="multilevel"/>
    <w:tmpl w:val="358C8A5C"/>
    <w:lvl w:ilvl="0">
      <w:start w:val="1"/>
      <w:numFmt w:val="decimal"/>
      <w:lvlText w:val="%1."/>
      <w:lvlJc w:val="left"/>
      <w:pPr>
        <w:ind w:left="720" w:hanging="360"/>
      </w:pPr>
      <w:rPr>
        <w:rFonts w:ascii="Work Sans" w:eastAsia="Work Sans" w:hAnsi="Work Sans" w:cs="Work Sans"/>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A2D74CA"/>
    <w:multiLevelType w:val="multilevel"/>
    <w:tmpl w:val="8D52F70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5D537B44"/>
    <w:multiLevelType w:val="multilevel"/>
    <w:tmpl w:val="696E0AF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embedTrueType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A7F"/>
    <w:rsid w:val="000C2827"/>
    <w:rsid w:val="0025366A"/>
    <w:rsid w:val="00285ECB"/>
    <w:rsid w:val="002C6B1A"/>
    <w:rsid w:val="002D2199"/>
    <w:rsid w:val="00361D65"/>
    <w:rsid w:val="003A409D"/>
    <w:rsid w:val="003B2B39"/>
    <w:rsid w:val="004D0A7F"/>
    <w:rsid w:val="004F0EEA"/>
    <w:rsid w:val="00513F81"/>
    <w:rsid w:val="005A0B21"/>
    <w:rsid w:val="00646B25"/>
    <w:rsid w:val="006E0DED"/>
    <w:rsid w:val="008424CE"/>
    <w:rsid w:val="00891958"/>
    <w:rsid w:val="008B4663"/>
    <w:rsid w:val="008D3D16"/>
    <w:rsid w:val="009122EF"/>
    <w:rsid w:val="00950445"/>
    <w:rsid w:val="00955D4D"/>
    <w:rsid w:val="00A82B1D"/>
    <w:rsid w:val="00A96D8D"/>
    <w:rsid w:val="00C55E50"/>
    <w:rsid w:val="00CC7B2C"/>
    <w:rsid w:val="00D6112B"/>
    <w:rsid w:val="00E534B3"/>
    <w:rsid w:val="00E9503F"/>
    <w:rsid w:val="00F6343B"/>
    <w:rsid w:val="00FB7248"/>
    <w:rsid w:val="00FF6C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472462BC"/>
  <w15:docId w15:val="{90A3221C-9DF3-4443-87B3-61B6B1105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bCs/>
      <w:sz w:val="48"/>
      <w:szCs w:val="48"/>
    </w:rPr>
  </w:style>
  <w:style w:type="paragraph" w:styleId="Ttulo2">
    <w:name w:val="heading 2"/>
    <w:basedOn w:val="Normal"/>
    <w:next w:val="Normal"/>
    <w:uiPriority w:val="9"/>
    <w:semiHidden/>
    <w:unhideWhenUsed/>
    <w:qFormat/>
    <w:pPr>
      <w:keepNext/>
      <w:keepLines/>
      <w:spacing w:before="360" w:after="80"/>
      <w:outlineLvl w:val="1"/>
    </w:pPr>
    <w:rPr>
      <w:b/>
      <w:bCs/>
      <w:sz w:val="36"/>
      <w:szCs w:val="36"/>
    </w:rPr>
  </w:style>
  <w:style w:type="paragraph" w:styleId="Ttulo3">
    <w:name w:val="heading 3"/>
    <w:basedOn w:val="Normal"/>
    <w:next w:val="Normal"/>
    <w:uiPriority w:val="9"/>
    <w:semiHidden/>
    <w:unhideWhenUsed/>
    <w:qFormat/>
    <w:pPr>
      <w:keepNext/>
      <w:keepLines/>
      <w:spacing w:before="280" w:after="80"/>
      <w:outlineLvl w:val="2"/>
    </w:pPr>
    <w:rPr>
      <w:b/>
      <w:bCs/>
      <w:sz w:val="28"/>
      <w:szCs w:val="28"/>
    </w:rPr>
  </w:style>
  <w:style w:type="paragraph" w:styleId="Ttulo4">
    <w:name w:val="heading 4"/>
    <w:basedOn w:val="Normal"/>
    <w:next w:val="Normal"/>
    <w:uiPriority w:val="9"/>
    <w:semiHidden/>
    <w:unhideWhenUsed/>
    <w:qFormat/>
    <w:pPr>
      <w:keepNext/>
      <w:keepLines/>
      <w:spacing w:before="240" w:after="40"/>
      <w:outlineLvl w:val="3"/>
    </w:pPr>
    <w:rPr>
      <w:b/>
      <w:bCs/>
    </w:rPr>
  </w:style>
  <w:style w:type="paragraph" w:styleId="Ttulo5">
    <w:name w:val="heading 5"/>
    <w:basedOn w:val="Normal"/>
    <w:next w:val="Normal"/>
    <w:uiPriority w:val="9"/>
    <w:semiHidden/>
    <w:unhideWhenUsed/>
    <w:qFormat/>
    <w:pPr>
      <w:keepNext/>
      <w:keepLines/>
      <w:spacing w:before="220" w:after="40"/>
      <w:outlineLvl w:val="4"/>
    </w:pPr>
    <w:rPr>
      <w:b/>
      <w:bCs/>
      <w:sz w:val="22"/>
      <w:szCs w:val="22"/>
    </w:rPr>
  </w:style>
  <w:style w:type="paragraph" w:styleId="Ttulo6">
    <w:name w:val="heading 6"/>
    <w:basedOn w:val="Normal"/>
    <w:next w:val="Normal"/>
    <w:uiPriority w:val="9"/>
    <w:semiHidden/>
    <w:unhideWhenUsed/>
    <w:qFormat/>
    <w:pPr>
      <w:keepNext/>
      <w:keepLines/>
      <w:spacing w:before="200" w:after="40"/>
      <w:outlineLvl w:val="5"/>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uiPriority w:val="10"/>
    <w:qFormat/>
    <w:pPr>
      <w:keepNext/>
      <w:keepLines/>
      <w:spacing w:before="480" w:after="120"/>
    </w:pPr>
    <w:rPr>
      <w:b/>
      <w:bCs/>
      <w:sz w:val="72"/>
      <w:szCs w:val="72"/>
    </w:rPr>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jc w:val="both"/>
    </w:pPr>
    <w:rPr>
      <w:rFonts w:ascii="Arial" w:hAnsi="Arial"/>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pPr>
  </w:style>
  <w:style w:type="paragraph" w:styleId="Piedepgina">
    <w:name w:val="footer"/>
    <w:basedOn w:val="Normal"/>
    <w:link w:val="PiedepginaCar"/>
    <w:uiPriority w:val="99"/>
    <w:unhideWhenUsed/>
    <w:rsid w:val="004B5EF3"/>
    <w:pPr>
      <w:tabs>
        <w:tab w:val="center" w:pos="4419"/>
        <w:tab w:val="right" w:pos="8838"/>
      </w:tabs>
    </w:pPr>
  </w:style>
  <w:style w:type="paragraph" w:styleId="Textonotapie">
    <w:name w:val="footnote text"/>
    <w:basedOn w:val="Normal"/>
    <w:link w:val="TextonotapieCar"/>
    <w:uiPriority w:val="99"/>
    <w:unhideWhenUsed/>
    <w:rsid w:val="00503120"/>
    <w:rPr>
      <w:rFonts w:ascii="Calibri" w:eastAsia="Calibri" w:hAnsi="Calibri" w:cs="Calibri"/>
      <w:sz w:val="20"/>
      <w:szCs w:val="20"/>
    </w:rPr>
  </w:style>
  <w:style w:type="character" w:customStyle="1" w:styleId="TextonotapieCar">
    <w:name w:val="Texto nota pie Car"/>
    <w:basedOn w:val="Fuentedeprrafopredeter"/>
    <w:link w:val="Textonotapie"/>
    <w:uiPriority w:val="99"/>
    <w:rsid w:val="00503120"/>
    <w:rPr>
      <w:rFonts w:ascii="Calibri" w:eastAsia="Calibri" w:hAnsi="Calibri" w:cs="Calibri"/>
      <w:sz w:val="20"/>
      <w:szCs w:val="20"/>
      <w:lang w:eastAsia="es-ES_tradnl"/>
    </w:rPr>
  </w:style>
  <w:style w:type="character" w:styleId="Refdenotaalpie">
    <w:name w:val="footnote reference"/>
    <w:basedOn w:val="Fuentedeprrafopredeter"/>
    <w:uiPriority w:val="99"/>
    <w:semiHidden/>
    <w:unhideWhenUsed/>
    <w:rsid w:val="00503120"/>
    <w:rPr>
      <w:vertAlign w:val="superscript"/>
    </w:rPr>
  </w:style>
  <w:style w:type="paragraph" w:styleId="NormalWeb">
    <w:name w:val="Normal (Web)"/>
    <w:basedOn w:val="Normal"/>
    <w:uiPriority w:val="99"/>
    <w:unhideWhenUsed/>
    <w:rsid w:val="00397953"/>
    <w:pPr>
      <w:spacing w:before="100" w:beforeAutospacing="1" w:after="100" w:afterAutospacing="1"/>
    </w:pPr>
  </w:style>
  <w:style w:type="character" w:styleId="nfasis">
    <w:name w:val="Emphasis"/>
    <w:basedOn w:val="Fuentedeprrafopredeter"/>
    <w:uiPriority w:val="20"/>
    <w:qFormat/>
    <w:rsid w:val="00245A82"/>
    <w:rPr>
      <w:i/>
      <w:iCs/>
    </w:rPr>
  </w:style>
  <w:style w:type="paragraph" w:styleId="Prrafodelista">
    <w:name w:val="List Paragraph"/>
    <w:basedOn w:val="Normal"/>
    <w:uiPriority w:val="34"/>
    <w:qFormat/>
    <w:rsid w:val="00322F02"/>
    <w:pPr>
      <w:ind w:left="720"/>
      <w:contextualSpacing/>
    </w:pPr>
  </w:style>
  <w:style w:type="character" w:styleId="Textoennegrita">
    <w:name w:val="Strong"/>
    <w:basedOn w:val="Fuentedeprrafopredeter"/>
    <w:uiPriority w:val="22"/>
    <w:qFormat/>
    <w:rsid w:val="00FB580F"/>
    <w:rPr>
      <w:b/>
      <w:bCs/>
    </w:rPr>
  </w:style>
  <w:style w:type="character" w:styleId="Refdecomentario">
    <w:name w:val="annotation reference"/>
    <w:basedOn w:val="Fuentedeprrafopredeter"/>
    <w:uiPriority w:val="99"/>
    <w:semiHidden/>
    <w:unhideWhenUsed/>
    <w:rsid w:val="00FB580F"/>
    <w:rPr>
      <w:sz w:val="16"/>
      <w:szCs w:val="16"/>
    </w:rPr>
  </w:style>
  <w:style w:type="paragraph" w:styleId="Textocomentario">
    <w:name w:val="annotation text"/>
    <w:basedOn w:val="Normal"/>
    <w:link w:val="TextocomentarioCar"/>
    <w:uiPriority w:val="99"/>
    <w:unhideWhenUsed/>
    <w:rsid w:val="00FB580F"/>
    <w:rPr>
      <w:rFonts w:ascii="Calibri" w:eastAsia="Calibri" w:hAnsi="Calibri" w:cs="Calibri"/>
      <w:sz w:val="20"/>
      <w:szCs w:val="20"/>
    </w:rPr>
  </w:style>
  <w:style w:type="character" w:customStyle="1" w:styleId="TextocomentarioCar">
    <w:name w:val="Texto comentario Car"/>
    <w:basedOn w:val="Fuentedeprrafopredeter"/>
    <w:link w:val="Textocomentario"/>
    <w:uiPriority w:val="99"/>
    <w:rsid w:val="00FB580F"/>
    <w:rPr>
      <w:rFonts w:ascii="Calibri" w:eastAsia="Calibri" w:hAnsi="Calibri" w:cs="Calibri"/>
      <w:sz w:val="20"/>
      <w:szCs w:val="20"/>
      <w:lang w:eastAsia="es-ES_tradnl"/>
    </w:rPr>
  </w:style>
  <w:style w:type="paragraph" w:styleId="Textodeglobo">
    <w:name w:val="Balloon Text"/>
    <w:basedOn w:val="Normal"/>
    <w:link w:val="TextodegloboCar"/>
    <w:uiPriority w:val="99"/>
    <w:semiHidden/>
    <w:unhideWhenUsed/>
    <w:rsid w:val="00FB580F"/>
    <w:rPr>
      <w:sz w:val="18"/>
      <w:szCs w:val="18"/>
    </w:rPr>
  </w:style>
  <w:style w:type="character" w:customStyle="1" w:styleId="TextodegloboCar">
    <w:name w:val="Texto de globo Car"/>
    <w:basedOn w:val="Fuentedeprrafopredeter"/>
    <w:link w:val="Textodeglobo"/>
    <w:uiPriority w:val="99"/>
    <w:semiHidden/>
    <w:rsid w:val="00FB580F"/>
    <w:rPr>
      <w:rFonts w:ascii="Times New Roman" w:hAnsi="Times New Roman" w:cs="Times New Roman"/>
      <w:sz w:val="18"/>
      <w:szCs w:val="18"/>
    </w:rPr>
  </w:style>
  <w:style w:type="paragraph" w:styleId="Sinespaciado">
    <w:name w:val="No Spacing"/>
    <w:uiPriority w:val="1"/>
    <w:qFormat/>
    <w:rsid w:val="00B750EB"/>
  </w:style>
  <w:style w:type="paragraph" w:styleId="Subttulo">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
    <w:tblPr>
      <w:tblStyleRowBandSize w:val="1"/>
      <w:tblStyleColBandSize w:val="1"/>
      <w:tblCellMar>
        <w:top w:w="55" w:type="dxa"/>
        <w:left w:w="55" w:type="dxa"/>
        <w:bottom w:w="55" w:type="dxa"/>
        <w:right w:w="55" w:type="dxa"/>
      </w:tblCellMar>
    </w:tblPr>
  </w:style>
  <w:style w:type="character" w:customStyle="1" w:styleId="apple-converted-space">
    <w:name w:val="apple-converted-space"/>
    <w:basedOn w:val="Fuentedeprrafopredeter"/>
    <w:rsid w:val="00D611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974084">
      <w:bodyDiv w:val="1"/>
      <w:marLeft w:val="0"/>
      <w:marRight w:val="0"/>
      <w:marTop w:val="0"/>
      <w:marBottom w:val="0"/>
      <w:divBdr>
        <w:top w:val="none" w:sz="0" w:space="0" w:color="auto"/>
        <w:left w:val="none" w:sz="0" w:space="0" w:color="auto"/>
        <w:bottom w:val="none" w:sz="0" w:space="0" w:color="auto"/>
        <w:right w:val="none" w:sz="0" w:space="0" w:color="auto"/>
      </w:divBdr>
    </w:div>
    <w:div w:id="1269504284">
      <w:bodyDiv w:val="1"/>
      <w:marLeft w:val="0"/>
      <w:marRight w:val="0"/>
      <w:marTop w:val="0"/>
      <w:marBottom w:val="0"/>
      <w:divBdr>
        <w:top w:val="none" w:sz="0" w:space="0" w:color="auto"/>
        <w:left w:val="none" w:sz="0" w:space="0" w:color="auto"/>
        <w:bottom w:val="none" w:sz="0" w:space="0" w:color="auto"/>
        <w:right w:val="none" w:sz="0" w:space="0" w:color="auto"/>
      </w:divBdr>
    </w:div>
    <w:div w:id="2128236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IdynpgPluAAdqntJSYeYB8e1ig==">CgMxLjAyDmguNHBiOXVpOGtrc2duOAByITFMYVo1S0VSclVvNzAzVk1CdVlrZmZxUmk4TnlqTTJtTg==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15</Pages>
  <Words>4204</Words>
  <Characters>23127</Characters>
  <Application>Microsoft Office Word</Application>
  <DocSecurity>0</DocSecurity>
  <Lines>192</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Ministerio de Minas y Energía</dc:creator>
  <cp:lastModifiedBy>Michelle Roncancio</cp:lastModifiedBy>
  <cp:revision>26</cp:revision>
  <dcterms:created xsi:type="dcterms:W3CDTF">2025-12-09T00:15:00Z</dcterms:created>
  <dcterms:modified xsi:type="dcterms:W3CDTF">2025-12-09T01:49:00Z</dcterms:modified>
</cp:coreProperties>
</file>